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color w:val="auto"/>
          <w:sz w:val="44"/>
          <w:szCs w:val="44"/>
          <w:highlight w:val="none"/>
        </w:rPr>
      </w:pPr>
      <w:bookmarkStart w:id="62" w:name="_GoBack"/>
      <w:bookmarkEnd w:id="62"/>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2022年宁德高速公路桥梁病害维修处治工程</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购</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件</w:t>
      </w:r>
    </w:p>
    <w:p>
      <w:pPr>
        <w:spacing w:line="600" w:lineRule="exact"/>
        <w:rPr>
          <w:rFonts w:ascii="宋体" w:hAnsi="宋体"/>
          <w:color w:val="auto"/>
          <w:highlight w:val="none"/>
        </w:rPr>
      </w:pPr>
    </w:p>
    <w:p>
      <w:pPr>
        <w:spacing w:line="600" w:lineRule="exact"/>
        <w:rPr>
          <w:rFonts w:ascii="宋体" w:hAnsi="宋体"/>
          <w:color w:val="auto"/>
          <w:highlight w:val="none"/>
        </w:rPr>
      </w:pPr>
    </w:p>
    <w:p>
      <w:pPr>
        <w:spacing w:line="600" w:lineRule="exact"/>
        <w:jc w:val="left"/>
        <w:rPr>
          <w:rFonts w:ascii="宋体" w:hAnsi="宋体"/>
          <w:color w:val="auto"/>
          <w:sz w:val="36"/>
          <w:szCs w:val="36"/>
          <w:highlight w:val="none"/>
        </w:rPr>
      </w:pPr>
    </w:p>
    <w:p>
      <w:pPr>
        <w:spacing w:line="600" w:lineRule="exact"/>
        <w:jc w:val="left"/>
        <w:rPr>
          <w:rFonts w:ascii="宋体" w:hAnsi="宋体"/>
          <w:color w:val="auto"/>
          <w:sz w:val="36"/>
          <w:szCs w:val="36"/>
          <w:highlight w:val="none"/>
        </w:rPr>
      </w:pPr>
    </w:p>
    <w:p>
      <w:pPr>
        <w:spacing w:line="800" w:lineRule="exact"/>
        <w:jc w:val="left"/>
        <w:rPr>
          <w:rFonts w:ascii="宋体" w:hAnsi="宋体"/>
          <w:color w:val="auto"/>
          <w:sz w:val="36"/>
          <w:szCs w:val="36"/>
          <w:highlight w:val="none"/>
        </w:rPr>
      </w:pPr>
      <w:r>
        <w:rPr>
          <w:rFonts w:hint="eastAsia" w:ascii="宋体" w:hAnsi="宋体"/>
          <w:color w:val="auto"/>
          <w:sz w:val="36"/>
          <w:szCs w:val="36"/>
          <w:highlight w:val="none"/>
        </w:rPr>
        <w:t>采购人：宁德市高速公路养护工程有限公司</w:t>
      </w:r>
    </w:p>
    <w:p>
      <w:pPr>
        <w:spacing w:line="800" w:lineRule="exact"/>
        <w:jc w:val="left"/>
        <w:rPr>
          <w:rFonts w:ascii="宋体" w:hAnsi="宋体"/>
          <w:color w:val="auto"/>
          <w:sz w:val="36"/>
          <w:szCs w:val="36"/>
          <w:highlight w:val="none"/>
        </w:rPr>
      </w:pPr>
      <w:r>
        <w:rPr>
          <w:rFonts w:hint="eastAsia" w:ascii="宋体" w:hAnsi="宋体"/>
          <w:color w:val="auto"/>
          <w:sz w:val="36"/>
          <w:szCs w:val="36"/>
          <w:highlight w:val="none"/>
        </w:rPr>
        <w:t xml:space="preserve">日  期：2022年 </w:t>
      </w:r>
      <w:r>
        <w:rPr>
          <w:rFonts w:hint="eastAsia" w:ascii="宋体" w:hAnsi="宋体"/>
          <w:color w:val="auto"/>
          <w:sz w:val="36"/>
          <w:szCs w:val="36"/>
          <w:highlight w:val="none"/>
          <w:lang w:val="en-US" w:eastAsia="zh-CN"/>
        </w:rPr>
        <w:t>9</w:t>
      </w:r>
      <w:r>
        <w:rPr>
          <w:rFonts w:hint="eastAsia" w:ascii="宋体" w:hAnsi="宋体"/>
          <w:color w:val="auto"/>
          <w:sz w:val="36"/>
          <w:szCs w:val="36"/>
          <w:highlight w:val="none"/>
        </w:rPr>
        <w:t xml:space="preserve"> 月</w:t>
      </w:r>
    </w:p>
    <w:p>
      <w:pPr>
        <w:spacing w:line="800" w:lineRule="exact"/>
        <w:jc w:val="left"/>
        <w:rPr>
          <w:rFonts w:ascii="宋体" w:hAnsi="宋体"/>
          <w:color w:val="auto"/>
          <w:sz w:val="36"/>
          <w:szCs w:val="36"/>
          <w:highlight w:val="none"/>
        </w:rPr>
      </w:pPr>
    </w:p>
    <w:p>
      <w:pPr>
        <w:spacing w:line="600" w:lineRule="exac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目  录</w:t>
      </w:r>
    </w:p>
    <w:p>
      <w:pPr>
        <w:spacing w:line="600" w:lineRule="exact"/>
        <w:jc w:val="center"/>
        <w:rPr>
          <w:rFonts w:ascii="宋体" w:hAnsi="宋体"/>
          <w:b/>
          <w:color w:val="auto"/>
          <w:sz w:val="32"/>
          <w:szCs w:val="32"/>
          <w:highlight w:val="none"/>
        </w:rPr>
      </w:pPr>
    </w:p>
    <w:p>
      <w:pPr>
        <w:rPr>
          <w:rFonts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t>第一篇</w:t>
      </w: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TOC \o "1-3" \h \z \u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竞价公告</w:t>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"_Toc534893621" </w:instrText>
      </w:r>
      <w:r>
        <w:rPr>
          <w:color w:val="auto"/>
          <w:highlight w:val="none"/>
        </w:rPr>
        <w:fldChar w:fldCharType="separate"/>
      </w:r>
      <w:r>
        <w:rPr>
          <w:rFonts w:hint="eastAsia" w:ascii="宋体" w:hAnsi="宋体" w:cs="宋体"/>
          <w:b/>
          <w:color w:val="auto"/>
          <w:sz w:val="32"/>
          <w:szCs w:val="32"/>
          <w:highlight w:val="none"/>
          <w:shd w:val="clear" w:color="FFFFFF" w:fill="D9D9D9"/>
        </w:rPr>
        <w:t>第二篇  项目技术规格及</w:t>
      </w:r>
      <w:bookmarkStart w:id="0" w:name="_Hlt3300256"/>
      <w:r>
        <w:rPr>
          <w:rFonts w:hint="eastAsia" w:ascii="宋体" w:hAnsi="宋体" w:cs="宋体"/>
          <w:b/>
          <w:color w:val="auto"/>
          <w:sz w:val="32"/>
          <w:szCs w:val="32"/>
          <w:highlight w:val="none"/>
          <w:shd w:val="clear" w:color="FFFFFF" w:fill="D9D9D9"/>
        </w:rPr>
        <w:t>质</w:t>
      </w:r>
      <w:bookmarkEnd w:id="0"/>
      <w:r>
        <w:rPr>
          <w:rFonts w:hint="eastAsia" w:ascii="宋体" w:hAnsi="宋体" w:cs="宋体"/>
          <w:b/>
          <w:color w:val="auto"/>
          <w:sz w:val="32"/>
          <w:szCs w:val="32"/>
          <w:highlight w:val="none"/>
          <w:shd w:val="clear" w:color="FFFFFF" w:fill="D9D9D9"/>
        </w:rPr>
        <w:t>量要求</w:t>
      </w:r>
      <w:r>
        <w:rPr>
          <w:rFonts w:hint="eastAsia" w:ascii="宋体" w:hAnsi="宋体" w:cs="宋体"/>
          <w:b/>
          <w:color w:val="auto"/>
          <w:sz w:val="32"/>
          <w:szCs w:val="32"/>
          <w:highlight w:val="none"/>
          <w:shd w:val="clear" w:color="FFFFFF" w:fill="D9D9D9"/>
        </w:rPr>
        <w:fldChar w:fldCharType="end"/>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"_Toc515983535" </w:instrText>
      </w:r>
      <w:r>
        <w:rPr>
          <w:color w:val="auto"/>
          <w:highlight w:val="none"/>
        </w:rPr>
        <w:fldChar w:fldCharType="separate"/>
      </w:r>
      <w:r>
        <w:rPr>
          <w:rFonts w:hint="eastAsia" w:ascii="宋体" w:hAnsi="宋体" w:cs="宋体"/>
          <w:b/>
          <w:color w:val="auto"/>
          <w:sz w:val="32"/>
          <w:szCs w:val="32"/>
          <w:highlight w:val="none"/>
          <w:shd w:val="clear" w:color="FFFFFF" w:fill="D9D9D9"/>
        </w:rPr>
        <w:t>第三篇  报价人须知</w:t>
      </w:r>
      <w:r>
        <w:rPr>
          <w:rFonts w:hint="eastAsia" w:ascii="宋体" w:hAnsi="宋体" w:cs="宋体"/>
          <w:b/>
          <w:color w:val="auto"/>
          <w:sz w:val="32"/>
          <w:szCs w:val="32"/>
          <w:highlight w:val="none"/>
          <w:shd w:val="clear" w:color="FFFFFF" w:fill="D9D9D9"/>
        </w:rPr>
        <w:fldChar w:fldCharType="end"/>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"_Toc515983537" </w:instrText>
      </w:r>
      <w:r>
        <w:rPr>
          <w:color w:val="auto"/>
          <w:highlight w:val="none"/>
        </w:rPr>
        <w:fldChar w:fldCharType="separate"/>
      </w:r>
      <w:r>
        <w:rPr>
          <w:rFonts w:hint="eastAsia" w:ascii="宋体" w:hAnsi="宋体" w:cs="宋体"/>
          <w:b/>
          <w:color w:val="auto"/>
          <w:sz w:val="32"/>
          <w:szCs w:val="32"/>
          <w:highlight w:val="none"/>
          <w:shd w:val="clear" w:color="FFFFFF" w:fill="D9D9D9"/>
        </w:rPr>
        <w:t>第四篇  评审办法</w:t>
      </w:r>
      <w:r>
        <w:rPr>
          <w:rFonts w:hint="eastAsia" w:ascii="宋体" w:hAnsi="宋体" w:cs="宋体"/>
          <w:b/>
          <w:color w:val="auto"/>
          <w:sz w:val="32"/>
          <w:szCs w:val="32"/>
          <w:highlight w:val="none"/>
          <w:shd w:val="clear" w:color="FFFFFF" w:fill="D9D9D9"/>
        </w:rPr>
        <w:fldChar w:fldCharType="end"/>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"_Toc515983537" </w:instrText>
      </w:r>
      <w:r>
        <w:rPr>
          <w:color w:val="auto"/>
          <w:highlight w:val="none"/>
        </w:rPr>
        <w:fldChar w:fldCharType="separate"/>
      </w:r>
      <w:r>
        <w:rPr>
          <w:rFonts w:hint="eastAsia" w:ascii="宋体" w:hAnsi="宋体" w:cs="宋体"/>
          <w:b/>
          <w:color w:val="auto"/>
          <w:sz w:val="32"/>
          <w:szCs w:val="32"/>
          <w:highlight w:val="none"/>
          <w:shd w:val="clear" w:color="FFFFFF" w:fill="D9D9D9"/>
        </w:rPr>
        <w:t xml:space="preserve">第五篇  </w:t>
      </w:r>
      <w:r>
        <w:rPr>
          <w:rFonts w:hint="eastAsia" w:ascii="宋体" w:hAnsi="宋体" w:cs="宋体"/>
          <w:b/>
          <w:color w:val="auto"/>
          <w:sz w:val="32"/>
          <w:szCs w:val="32"/>
          <w:highlight w:val="none"/>
          <w:shd w:val="clear" w:color="FFFFFF" w:fill="D9D9D9"/>
        </w:rPr>
        <w:fldChar w:fldCharType="end"/>
      </w:r>
      <w:r>
        <w:rPr>
          <w:rFonts w:hint="eastAsia" w:ascii="宋体" w:hAnsi="宋体" w:cs="宋体"/>
          <w:b/>
          <w:color w:val="auto"/>
          <w:sz w:val="32"/>
          <w:szCs w:val="32"/>
          <w:highlight w:val="none"/>
          <w:shd w:val="clear" w:color="FFFFFF" w:fill="D9D9D9"/>
        </w:rPr>
        <w:t>工程量清单</w:t>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"_Toc515983538" </w:instrText>
      </w:r>
      <w:r>
        <w:rPr>
          <w:color w:val="auto"/>
          <w:highlight w:val="none"/>
        </w:rPr>
        <w:fldChar w:fldCharType="separate"/>
      </w:r>
      <w:r>
        <w:rPr>
          <w:rFonts w:hint="eastAsia" w:ascii="宋体" w:hAnsi="宋体" w:cs="宋体"/>
          <w:b/>
          <w:color w:val="auto"/>
          <w:sz w:val="32"/>
          <w:szCs w:val="32"/>
          <w:highlight w:val="none"/>
          <w:shd w:val="clear" w:color="FFFFFF" w:fill="D9D9D9"/>
        </w:rPr>
        <w:t>第六篇  合同主要条款、合同格式</w:t>
      </w:r>
      <w:r>
        <w:rPr>
          <w:rFonts w:hint="eastAsia" w:ascii="宋体" w:hAnsi="宋体" w:cs="宋体"/>
          <w:b/>
          <w:color w:val="auto"/>
          <w:sz w:val="32"/>
          <w:szCs w:val="32"/>
          <w:highlight w:val="none"/>
          <w:shd w:val="clear" w:color="FFFFFF" w:fill="D9D9D9"/>
        </w:rPr>
        <w:fldChar w:fldCharType="end"/>
      </w:r>
    </w:p>
    <w:p>
      <w:pPr>
        <w:rPr>
          <w:rFonts w:ascii="宋体" w:hAnsi="宋体" w:cs="宋体"/>
          <w:b/>
          <w:color w:val="auto"/>
          <w:sz w:val="32"/>
          <w:szCs w:val="32"/>
          <w:highlight w:val="none"/>
          <w:shd w:val="clear" w:color="FFFFFF" w:fill="D9D9D9"/>
        </w:rPr>
      </w:pPr>
      <w:r>
        <w:rPr>
          <w:color w:val="auto"/>
          <w:highlight w:val="none"/>
        </w:rPr>
        <w:fldChar w:fldCharType="begin"/>
      </w:r>
      <w:r>
        <w:rPr>
          <w:color w:val="auto"/>
          <w:highlight w:val="none"/>
        </w:rPr>
        <w:instrText xml:space="preserve"> HYPERLINK \l "_Toc515983539" </w:instrText>
      </w:r>
      <w:r>
        <w:rPr>
          <w:color w:val="auto"/>
          <w:highlight w:val="none"/>
        </w:rPr>
        <w:fldChar w:fldCharType="separate"/>
      </w:r>
      <w:r>
        <w:rPr>
          <w:rFonts w:hint="eastAsia" w:ascii="宋体" w:hAnsi="宋体" w:cs="宋体"/>
          <w:b/>
          <w:color w:val="auto"/>
          <w:sz w:val="32"/>
          <w:szCs w:val="32"/>
          <w:highlight w:val="none"/>
          <w:shd w:val="clear" w:color="FFFFFF" w:fill="D9D9D9"/>
        </w:rPr>
        <w:t>第七篇  报价文件格式</w:t>
      </w:r>
      <w:r>
        <w:rPr>
          <w:rFonts w:hint="eastAsia" w:ascii="宋体" w:hAnsi="宋体" w:cs="宋体"/>
          <w:b/>
          <w:color w:val="auto"/>
          <w:sz w:val="32"/>
          <w:szCs w:val="32"/>
          <w:highlight w:val="none"/>
          <w:shd w:val="clear" w:color="FFFFFF" w:fill="D9D9D9"/>
        </w:rPr>
        <w:fldChar w:fldCharType="end"/>
      </w:r>
    </w:p>
    <w:p>
      <w:pPr>
        <w:rPr>
          <w:rFonts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end"/>
      </w:r>
      <w:r>
        <w:rPr>
          <w:rFonts w:hint="eastAsia" w:ascii="宋体" w:hAnsi="宋体" w:cs="宋体"/>
          <w:b/>
          <w:color w:val="auto"/>
          <w:sz w:val="32"/>
          <w:szCs w:val="32"/>
          <w:highlight w:val="none"/>
          <w:shd w:val="clear" w:color="FFFFFF" w:fill="D9D9D9"/>
        </w:rPr>
        <w:t>第八篇  疫情防控制度</w:t>
      </w:r>
    </w:p>
    <w:p>
      <w:pPr>
        <w:pStyle w:val="24"/>
        <w:spacing w:line="600" w:lineRule="exact"/>
        <w:rPr>
          <w:rFonts w:ascii="宋体" w:hAnsi="宋体"/>
          <w:color w:val="auto"/>
          <w:sz w:val="24"/>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2"/>
        <w:rPr>
          <w:color w:val="auto"/>
          <w:highlight w:val="none"/>
        </w:rPr>
      </w:pPr>
    </w:p>
    <w:p>
      <w:pPr>
        <w:rPr>
          <w:color w:val="auto"/>
          <w:highlight w:val="none"/>
        </w:rPr>
      </w:pPr>
      <w:r>
        <w:rPr>
          <w:color w:val="auto"/>
          <w:highlight w:val="none"/>
        </w:rPr>
        <w:br w:type="page"/>
      </w:r>
    </w:p>
    <w:p>
      <w:pPr>
        <w:pStyle w:val="3"/>
        <w:numPr>
          <w:ilvl w:val="0"/>
          <w:numId w:val="1"/>
        </w:numPr>
        <w:spacing w:line="400" w:lineRule="exact"/>
        <w:jc w:val="both"/>
        <w:rPr>
          <w:rFonts w:asciiTheme="minorEastAsia" w:hAnsiTheme="minorEastAsia" w:eastAsiaTheme="minorEastAsia" w:cstheme="minorEastAsia"/>
          <w:b/>
          <w:color w:val="auto"/>
          <w:kern w:val="2"/>
          <w:sz w:val="32"/>
          <w:szCs w:val="32"/>
          <w:highlight w:val="none"/>
        </w:rPr>
      </w:pPr>
      <w:bookmarkStart w:id="1" w:name="_Toc515961888"/>
      <w:bookmarkEnd w:id="1"/>
      <w:bookmarkStart w:id="2" w:name="_Toc515983534"/>
      <w:bookmarkEnd w:id="2"/>
      <w:r>
        <w:rPr>
          <w:rFonts w:hint="eastAsia" w:asciiTheme="minorEastAsia" w:hAnsiTheme="minorEastAsia" w:eastAsiaTheme="minorEastAsia" w:cstheme="minorEastAsia"/>
          <w:b/>
          <w:color w:val="auto"/>
          <w:kern w:val="2"/>
          <w:sz w:val="32"/>
          <w:szCs w:val="32"/>
          <w:highlight w:val="none"/>
        </w:rPr>
        <w:t>竞价公告</w:t>
      </w:r>
    </w:p>
    <w:p>
      <w:pPr>
        <w:widowControl/>
        <w:numPr>
          <w:ilvl w:val="0"/>
          <w:numId w:val="2"/>
        </w:numPr>
        <w:ind w:left="280" w:hanging="280"/>
        <w:jc w:val="left"/>
        <w:rPr>
          <w:rFonts w:asciiTheme="minorEastAsia" w:hAnsiTheme="minorEastAsia" w:eastAsiaTheme="minorEastAsia" w:cstheme="minorEastAsia"/>
          <w:b/>
          <w:bCs/>
          <w:color w:val="auto"/>
          <w:kern w:val="0"/>
          <w:sz w:val="28"/>
          <w:szCs w:val="28"/>
          <w:highlight w:val="none"/>
        </w:rPr>
      </w:pPr>
      <w:bookmarkStart w:id="3" w:name="_Toc508286650"/>
      <w:bookmarkStart w:id="4" w:name="_Toc409439663"/>
      <w:bookmarkStart w:id="5" w:name="_Toc257911916"/>
      <w:r>
        <w:rPr>
          <w:rFonts w:hint="eastAsia" w:asciiTheme="minorEastAsia" w:hAnsiTheme="minorEastAsia" w:eastAsiaTheme="minorEastAsia" w:cstheme="minorEastAsia"/>
          <w:b/>
          <w:bCs/>
          <w:color w:val="auto"/>
          <w:kern w:val="0"/>
          <w:sz w:val="28"/>
          <w:szCs w:val="28"/>
          <w:highlight w:val="none"/>
        </w:rPr>
        <w:t>采购条件</w:t>
      </w:r>
    </w:p>
    <w:p>
      <w:pPr>
        <w:widowControl/>
        <w:ind w:left="269" w:leftChars="128" w:firstLine="280" w:firstLineChars="100"/>
        <w:jc w:val="left"/>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本采购项目</w:t>
      </w:r>
      <w:r>
        <w:rPr>
          <w:rFonts w:hint="eastAsia" w:asciiTheme="minorEastAsia" w:hAnsiTheme="minorEastAsia" w:eastAsiaTheme="minorEastAsia" w:cstheme="minorEastAsia"/>
          <w:color w:val="auto"/>
          <w:kern w:val="0"/>
          <w:sz w:val="28"/>
          <w:szCs w:val="28"/>
          <w:highlight w:val="none"/>
          <w:u w:val="single"/>
        </w:rPr>
        <w:t>2022年宁德高速公路桥梁病害维修处治工程</w:t>
      </w:r>
      <w:r>
        <w:rPr>
          <w:rFonts w:hint="eastAsia" w:asciiTheme="minorEastAsia" w:hAnsiTheme="minorEastAsia" w:eastAsiaTheme="minorEastAsia" w:cstheme="minorEastAsia"/>
          <w:color w:val="auto"/>
          <w:kern w:val="0"/>
          <w:sz w:val="28"/>
          <w:szCs w:val="28"/>
          <w:highlight w:val="none"/>
        </w:rPr>
        <w:t>（项目名称），建设资金来自</w:t>
      </w:r>
      <w:r>
        <w:rPr>
          <w:rFonts w:hint="eastAsia" w:asciiTheme="minorEastAsia" w:hAnsiTheme="minorEastAsia" w:eastAsiaTheme="minorEastAsia" w:cstheme="minorEastAsia"/>
          <w:color w:val="auto"/>
          <w:kern w:val="0"/>
          <w:sz w:val="28"/>
          <w:szCs w:val="28"/>
          <w:highlight w:val="none"/>
          <w:u w:val="single"/>
        </w:rPr>
        <w:t xml:space="preserve"> 公司自有资金 </w:t>
      </w:r>
      <w:r>
        <w:rPr>
          <w:rFonts w:hint="eastAsia" w:asciiTheme="minorEastAsia" w:hAnsiTheme="minorEastAsia" w:eastAsiaTheme="minorEastAsia" w:cstheme="minorEastAsia"/>
          <w:color w:val="auto"/>
          <w:kern w:val="0"/>
          <w:sz w:val="28"/>
          <w:szCs w:val="28"/>
          <w:highlight w:val="none"/>
        </w:rPr>
        <w:t xml:space="preserve">（资金来源），项目已具备采购条件，现邀请你单位参加报价。 </w:t>
      </w:r>
    </w:p>
    <w:p>
      <w:pPr>
        <w:widowControl/>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二、项目概况及标段划分</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kern w:val="0"/>
          <w:sz w:val="28"/>
          <w:szCs w:val="28"/>
          <w:highlight w:val="none"/>
          <w:u w:val="single"/>
        </w:rPr>
        <w:t>2022年宁德高速公路桥梁病害维修处治工程</w:t>
      </w:r>
      <w:r>
        <w:rPr>
          <w:rFonts w:hint="eastAsia" w:asciiTheme="minorEastAsia" w:hAnsiTheme="minorEastAsia" w:eastAsiaTheme="minorEastAsia" w:cstheme="minorEastAsia"/>
          <w:color w:val="auto"/>
          <w:sz w:val="28"/>
          <w:szCs w:val="28"/>
          <w:highlight w:val="none"/>
          <w:u w:val="single"/>
        </w:rPr>
        <w:t>。</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t>采购方式：</w:t>
      </w:r>
      <w:r>
        <w:rPr>
          <w:rFonts w:hint="eastAsia" w:asciiTheme="minorEastAsia" w:hAnsiTheme="minorEastAsia" w:eastAsiaTheme="minorEastAsia" w:cstheme="minorEastAsia"/>
          <w:color w:val="auto"/>
          <w:sz w:val="28"/>
          <w:szCs w:val="28"/>
          <w:highlight w:val="none"/>
          <w:u w:val="single"/>
        </w:rPr>
        <w:t>邀请竞价。</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t>采购项目内容：</w:t>
      </w:r>
      <w:r>
        <w:rPr>
          <w:rFonts w:hint="eastAsia" w:asciiTheme="minorEastAsia" w:hAnsiTheme="minorEastAsia" w:eastAsiaTheme="minorEastAsia" w:cstheme="minorEastAsia"/>
          <w:color w:val="auto"/>
          <w:kern w:val="0"/>
          <w:sz w:val="28"/>
          <w:szCs w:val="28"/>
          <w:highlight w:val="none"/>
        </w:rPr>
        <w:t xml:space="preserve">对宁德高速公路沿线8个路段（沈海福宁段、宁武宁德段、京台古田段、甬莞福柘段、甬莞宁连段、溧宁福寿段、宁武高速屏南连接线、宁上高速福安连接线）总计 </w:t>
      </w:r>
      <w:r>
        <w:rPr>
          <w:rFonts w:asciiTheme="minorEastAsia" w:hAnsiTheme="minorEastAsia" w:eastAsiaTheme="minorEastAsia" w:cstheme="minorEastAsia"/>
          <w:color w:val="auto"/>
          <w:kern w:val="0"/>
          <w:sz w:val="28"/>
          <w:szCs w:val="28"/>
          <w:highlight w:val="none"/>
        </w:rPr>
        <w:t>6</w:t>
      </w:r>
      <w:r>
        <w:rPr>
          <w:rFonts w:hint="eastAsia" w:asciiTheme="minorEastAsia" w:hAnsiTheme="minorEastAsia" w:eastAsiaTheme="minorEastAsia" w:cstheme="minorEastAsia"/>
          <w:color w:val="auto"/>
          <w:kern w:val="0"/>
          <w:sz w:val="28"/>
          <w:szCs w:val="28"/>
          <w:highlight w:val="none"/>
        </w:rPr>
        <w:t xml:space="preserve">5（双幅）座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类桥存在梁体裂缝、露筋，支座脱空开裂等病害进行维修处治</w:t>
      </w:r>
      <w:r>
        <w:rPr>
          <w:rFonts w:hint="eastAsia" w:ascii="宋体" w:hAnsi="宋体" w:cs="宋体"/>
          <w:color w:val="auto"/>
          <w:sz w:val="28"/>
          <w:szCs w:val="28"/>
          <w:highlight w:val="none"/>
        </w:rPr>
        <w:t>，具体以合同工程量清单为准。</w:t>
      </w:r>
    </w:p>
    <w:p>
      <w:pPr>
        <w:widowControl/>
        <w:jc w:val="left"/>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t>项目地点：</w:t>
      </w:r>
      <w:r>
        <w:rPr>
          <w:rFonts w:hint="eastAsia" w:asciiTheme="minorEastAsia" w:hAnsiTheme="minorEastAsia" w:eastAsiaTheme="minorEastAsia" w:cstheme="minorEastAsia"/>
          <w:color w:val="auto"/>
          <w:kern w:val="0"/>
          <w:sz w:val="28"/>
          <w:szCs w:val="28"/>
          <w:highlight w:val="none"/>
        </w:rPr>
        <w:t xml:space="preserve">沈海福宁段（八尺门特大桥、牙城高架桥 、后港特大桥 、溪尾特大桥 、下白石特大桥、田螺特大桥 、宁德特大桥）；宁武宁德段（秦阳右桥特大桥 、半山右桥特大桥、大坑大桥、河坑左桥 </w:t>
      </w:r>
      <w:r>
        <w:rPr>
          <w:rFonts w:asciiTheme="minorEastAsia" w:hAnsiTheme="minorEastAsia" w:eastAsiaTheme="minorEastAsia" w:cstheme="minorEastAsia"/>
          <w:color w:val="auto"/>
          <w:kern w:val="0"/>
          <w:sz w:val="28"/>
          <w:szCs w:val="28"/>
          <w:highlight w:val="none"/>
        </w:rPr>
        <w:t>1#</w:t>
      </w:r>
      <w:r>
        <w:rPr>
          <w:rFonts w:hint="eastAsia" w:asciiTheme="minorEastAsia" w:hAnsiTheme="minorEastAsia" w:eastAsiaTheme="minorEastAsia" w:cstheme="minorEastAsia"/>
          <w:color w:val="auto"/>
          <w:kern w:val="0"/>
          <w:sz w:val="28"/>
          <w:szCs w:val="28"/>
          <w:highlight w:val="none"/>
        </w:rPr>
        <w:t xml:space="preserve">特大桥、河坑右桥特大桥）；京台宁德段（排头枢纽互通主线桥、碗厂大桥右幅、古田溪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 xml:space="preserve">号大桥左幅 ）；甬莞福柘段（交溪特大桥 、柯洋大桥）；甬莞宁连段（宁德滨海特大桥、王坑特大桥）；溧宁福寿段（西浦大桥 、仙峰特大桥、元潭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 xml:space="preserve">号大桥、南奥特大桥 、武曲特大桥）；宁武高速屏南连接线（深洋大桥、喷源里特大桥、章岭 </w:t>
      </w:r>
      <w:r>
        <w:rPr>
          <w:rFonts w:asciiTheme="minorEastAsia" w:hAnsiTheme="minorEastAsia" w:eastAsiaTheme="minorEastAsia" w:cstheme="minorEastAsia"/>
          <w:color w:val="auto"/>
          <w:kern w:val="0"/>
          <w:sz w:val="28"/>
          <w:szCs w:val="28"/>
          <w:highlight w:val="none"/>
        </w:rPr>
        <w:t xml:space="preserve">1 </w:t>
      </w:r>
      <w:r>
        <w:rPr>
          <w:rFonts w:hint="eastAsia" w:asciiTheme="minorEastAsia" w:hAnsiTheme="minorEastAsia" w:eastAsiaTheme="minorEastAsia" w:cstheme="minorEastAsia"/>
          <w:color w:val="auto"/>
          <w:kern w:val="0"/>
          <w:sz w:val="28"/>
          <w:szCs w:val="28"/>
          <w:highlight w:val="none"/>
        </w:rPr>
        <w:t xml:space="preserve">号大桥、白水洋互通右幅 </w:t>
      </w:r>
      <w:r>
        <w:rPr>
          <w:rFonts w:asciiTheme="minorEastAsia" w:hAnsiTheme="minorEastAsia" w:eastAsiaTheme="minorEastAsia" w:cstheme="minorEastAsia"/>
          <w:color w:val="auto"/>
          <w:kern w:val="0"/>
          <w:sz w:val="28"/>
          <w:szCs w:val="28"/>
          <w:highlight w:val="none"/>
        </w:rPr>
        <w:t xml:space="preserve">1 </w:t>
      </w:r>
      <w:r>
        <w:rPr>
          <w:rFonts w:hint="eastAsia" w:asciiTheme="minorEastAsia" w:hAnsiTheme="minorEastAsia" w:eastAsiaTheme="minorEastAsia" w:cstheme="minorEastAsia"/>
          <w:color w:val="auto"/>
          <w:kern w:val="0"/>
          <w:sz w:val="28"/>
          <w:szCs w:val="28"/>
          <w:highlight w:val="none"/>
        </w:rPr>
        <w:t xml:space="preserve">号大桥、白水洋互通 </w:t>
      </w:r>
      <w:r>
        <w:rPr>
          <w:rFonts w:asciiTheme="minorEastAsia" w:hAnsiTheme="minorEastAsia" w:eastAsiaTheme="minorEastAsia" w:cstheme="minorEastAsia"/>
          <w:color w:val="auto"/>
          <w:kern w:val="0"/>
          <w:sz w:val="28"/>
          <w:szCs w:val="28"/>
          <w:highlight w:val="none"/>
        </w:rPr>
        <w:t xml:space="preserve">B </w:t>
      </w:r>
      <w:r>
        <w:rPr>
          <w:rFonts w:hint="eastAsia" w:asciiTheme="minorEastAsia" w:hAnsiTheme="minorEastAsia" w:eastAsiaTheme="minorEastAsia" w:cstheme="minorEastAsia"/>
          <w:color w:val="auto"/>
          <w:kern w:val="0"/>
          <w:sz w:val="28"/>
          <w:szCs w:val="28"/>
          <w:highlight w:val="none"/>
        </w:rPr>
        <w:t xml:space="preserve">匝道桥、白水洋互通 </w:t>
      </w:r>
      <w:r>
        <w:rPr>
          <w:rFonts w:asciiTheme="minorEastAsia" w:hAnsiTheme="minorEastAsia" w:eastAsiaTheme="minorEastAsia" w:cstheme="minorEastAsia"/>
          <w:color w:val="auto"/>
          <w:kern w:val="0"/>
          <w:sz w:val="28"/>
          <w:szCs w:val="28"/>
          <w:highlight w:val="none"/>
        </w:rPr>
        <w:t xml:space="preserve">C </w:t>
      </w:r>
      <w:r>
        <w:rPr>
          <w:rFonts w:hint="eastAsia" w:asciiTheme="minorEastAsia" w:hAnsiTheme="minorEastAsia" w:eastAsiaTheme="minorEastAsia" w:cstheme="minorEastAsia"/>
          <w:color w:val="auto"/>
          <w:kern w:val="0"/>
          <w:sz w:val="28"/>
          <w:szCs w:val="28"/>
          <w:highlight w:val="none"/>
        </w:rPr>
        <w:t xml:space="preserve">匝道桥 、白水洋互通右幅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 xml:space="preserve">号大桥 、甜泉大桥、棠口 </w:t>
      </w:r>
      <w:r>
        <w:rPr>
          <w:rFonts w:asciiTheme="minorEastAsia" w:hAnsiTheme="minorEastAsia" w:eastAsiaTheme="minorEastAsia" w:cstheme="minorEastAsia"/>
          <w:color w:val="auto"/>
          <w:kern w:val="0"/>
          <w:sz w:val="28"/>
          <w:szCs w:val="28"/>
          <w:highlight w:val="none"/>
        </w:rPr>
        <w:t xml:space="preserve">1 </w:t>
      </w:r>
      <w:r>
        <w:rPr>
          <w:rFonts w:hint="eastAsia" w:asciiTheme="minorEastAsia" w:hAnsiTheme="minorEastAsia" w:eastAsiaTheme="minorEastAsia" w:cstheme="minorEastAsia"/>
          <w:color w:val="auto"/>
          <w:kern w:val="0"/>
          <w:sz w:val="28"/>
          <w:szCs w:val="28"/>
          <w:highlight w:val="none"/>
        </w:rPr>
        <w:t>号大桥、屏南大桥右幅）；宁上高速福安连接线(</w:t>
      </w:r>
      <w:r>
        <w:rPr>
          <w:rFonts w:asciiTheme="minorEastAsia" w:hAnsiTheme="minorEastAsia" w:eastAsiaTheme="minorEastAsia" w:cstheme="minorEastAsia"/>
          <w:color w:val="auto"/>
          <w:kern w:val="0"/>
          <w:sz w:val="28"/>
          <w:szCs w:val="28"/>
          <w:highlight w:val="none"/>
        </w:rPr>
        <w:t xml:space="preserve">CR </w:t>
      </w:r>
      <w:r>
        <w:rPr>
          <w:rFonts w:hint="eastAsia" w:asciiTheme="minorEastAsia" w:hAnsiTheme="minorEastAsia" w:eastAsiaTheme="minorEastAsia" w:cstheme="minorEastAsia"/>
          <w:color w:val="auto"/>
          <w:kern w:val="0"/>
          <w:sz w:val="28"/>
          <w:szCs w:val="28"/>
          <w:highlight w:val="none"/>
        </w:rPr>
        <w:t xml:space="preserve">匝道 </w:t>
      </w:r>
      <w:r>
        <w:rPr>
          <w:rFonts w:asciiTheme="minorEastAsia" w:hAnsiTheme="minorEastAsia" w:eastAsiaTheme="minorEastAsia" w:cstheme="minorEastAsia"/>
          <w:color w:val="auto"/>
          <w:kern w:val="0"/>
          <w:sz w:val="28"/>
          <w:szCs w:val="28"/>
          <w:highlight w:val="none"/>
        </w:rPr>
        <w:t>1#</w:t>
      </w:r>
      <w:r>
        <w:rPr>
          <w:rFonts w:hint="eastAsia" w:asciiTheme="minorEastAsia" w:hAnsiTheme="minorEastAsia" w:eastAsiaTheme="minorEastAsia" w:cstheme="minorEastAsia"/>
          <w:color w:val="auto"/>
          <w:kern w:val="0"/>
          <w:sz w:val="28"/>
          <w:szCs w:val="28"/>
          <w:highlight w:val="none"/>
        </w:rPr>
        <w:t>石拱桥、下塘大桥、大盘立交桥右桥、泥弯大桥左桥、狮子头大桥)。</w:t>
      </w:r>
    </w:p>
    <w:p>
      <w:pPr>
        <w:spacing w:afterLines="50" w:line="360" w:lineRule="exact"/>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宋体" w:hAnsi="宋体" w:cs="宋体"/>
          <w:color w:val="auto"/>
          <w:sz w:val="28"/>
          <w:szCs w:val="28"/>
          <w:highlight w:val="none"/>
        </w:rPr>
        <w:t>本项目共分为</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个合同包，本次共采购</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个合同包。具体情况详见下表：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5"/>
        <w:gridCol w:w="2510"/>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85"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2510" w:type="dxa"/>
            <w:tcBorders>
              <w:top w:val="single" w:color="auto" w:sz="12" w:space="0"/>
            </w:tcBorders>
            <w:vAlign w:val="center"/>
          </w:tcPr>
          <w:p>
            <w:pPr>
              <w:spacing w:line="600" w:lineRule="exact"/>
              <w:ind w:firstLine="33" w:firstLineChars="12"/>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采购项目最高控制价（不含税）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85" w:type="dxa"/>
            <w:tcBorders>
              <w:left w:val="single" w:color="auto" w:sz="4" w:space="0"/>
            </w:tcBorders>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宋体" w:hAnsi="宋体" w:cs="宋体" w:eastAsiaTheme="minorEastAsia"/>
                <w:color w:val="auto"/>
                <w:sz w:val="30"/>
                <w:szCs w:val="30"/>
                <w:highlight w:val="none"/>
                <w:shd w:val="clear" w:color="auto" w:fill="FFFFFF"/>
              </w:rPr>
              <w:t>2022年宁德高速公路桥梁病害维修处治工程</w:t>
            </w:r>
          </w:p>
        </w:tc>
        <w:tc>
          <w:tcPr>
            <w:tcW w:w="2510" w:type="dxa"/>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对 </w:t>
            </w:r>
            <w:r>
              <w:rPr>
                <w:rFonts w:asciiTheme="minorEastAsia" w:hAnsiTheme="minorEastAsia" w:eastAsiaTheme="minorEastAsia" w:cstheme="minorEastAsia"/>
                <w:color w:val="auto"/>
                <w:kern w:val="0"/>
                <w:sz w:val="28"/>
                <w:szCs w:val="28"/>
                <w:highlight w:val="none"/>
              </w:rPr>
              <w:t>6</w:t>
            </w:r>
            <w:r>
              <w:rPr>
                <w:rFonts w:hint="eastAsia" w:asciiTheme="minorEastAsia" w:hAnsiTheme="minorEastAsia" w:eastAsiaTheme="minorEastAsia" w:cstheme="minorEastAsia"/>
                <w:color w:val="auto"/>
                <w:kern w:val="0"/>
                <w:sz w:val="28"/>
                <w:szCs w:val="28"/>
                <w:highlight w:val="none"/>
              </w:rPr>
              <w:t xml:space="preserve">5座（双幅）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类桥存在梁体裂缝、露筋，支座脱空开裂等病害进行维修处治</w:t>
            </w:r>
          </w:p>
        </w:tc>
        <w:tc>
          <w:tcPr>
            <w:tcW w:w="2347" w:type="dxa"/>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1663544元</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三、施工工期</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68"/>
        <w:gridCol w:w="1670"/>
        <w:gridCol w:w="3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3268"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计划工期</w:t>
            </w:r>
          </w:p>
        </w:tc>
        <w:tc>
          <w:tcPr>
            <w:tcW w:w="1670" w:type="dxa"/>
            <w:tcBorders>
              <w:top w:val="single" w:color="auto" w:sz="12" w:space="0"/>
              <w:left w:val="single" w:color="auto" w:sz="4"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w:t>
            </w:r>
          </w:p>
        </w:tc>
        <w:tc>
          <w:tcPr>
            <w:tcW w:w="3007"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3268"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u w:val="single"/>
                <w:lang w:val="en-US" w:eastAsia="zh-CN"/>
              </w:rPr>
              <w:t>60</w:t>
            </w:r>
            <w:r>
              <w:rPr>
                <w:rFonts w:hint="eastAsia" w:ascii="宋体" w:hAnsi="宋体" w:cs="宋体"/>
                <w:color w:val="auto"/>
                <w:sz w:val="28"/>
                <w:szCs w:val="28"/>
                <w:highlight w:val="none"/>
                <w:u w:val="single"/>
              </w:rPr>
              <w:t>个日历天内完成</w:t>
            </w:r>
          </w:p>
        </w:tc>
        <w:tc>
          <w:tcPr>
            <w:tcW w:w="1670" w:type="dxa"/>
            <w:tcBorders>
              <w:left w:val="single" w:color="auto" w:sz="4" w:space="0"/>
              <w:right w:val="single" w:color="auto" w:sz="4" w:space="0"/>
            </w:tcBorders>
            <w:vAlign w:val="center"/>
          </w:tcPr>
          <w:p>
            <w:pPr>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12个</w:t>
            </w:r>
            <w:r>
              <w:rPr>
                <w:rFonts w:hint="eastAsia" w:ascii="宋体" w:hAnsi="宋体" w:cs="宋体"/>
                <w:color w:val="auto"/>
                <w:sz w:val="28"/>
                <w:szCs w:val="28"/>
                <w:highlight w:val="none"/>
              </w:rPr>
              <w:t>月</w:t>
            </w:r>
          </w:p>
        </w:tc>
        <w:tc>
          <w:tcPr>
            <w:tcW w:w="3007"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自工程实际交工日期起计算12个月</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四、质量要求</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u w:val="single"/>
              </w:rPr>
            </w:pPr>
            <w:r>
              <w:rPr>
                <w:rFonts w:hint="eastAsia" w:ascii="宋体" w:hAnsi="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竣工验收的质量评定</w:t>
            </w:r>
          </w:p>
        </w:tc>
        <w:tc>
          <w:tcPr>
            <w:tcW w:w="5251"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合格</w:t>
            </w:r>
          </w:p>
        </w:tc>
      </w:tr>
    </w:tbl>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五、报价人资格条件</w:t>
      </w:r>
    </w:p>
    <w:p>
      <w:pPr>
        <w:widowControl/>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1、本次采购要求报价人须在我司2022年非招标采购供应商库（土建养护工程桥涵工程类）范围内，若报价人不在供应商库（土建养护工程桥涵工程类）内的，其报价文件将被拒绝。</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2、竞价资料要求：报价人所提交的材料应清晰、完整、真实，否则所产生的后果由报价人自行承担。</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3、本次采购_</w:t>
      </w:r>
      <w:r>
        <w:rPr>
          <w:rFonts w:hint="eastAsia" w:asciiTheme="minorEastAsia" w:hAnsiTheme="minorEastAsia" w:eastAsiaTheme="minorEastAsia" w:cstheme="minorEastAsia"/>
          <w:color w:val="auto"/>
          <w:sz w:val="28"/>
          <w:szCs w:val="28"/>
          <w:highlight w:val="none"/>
          <w:u w:val="single"/>
        </w:rPr>
        <w:t>_不接受_</w:t>
      </w:r>
      <w:r>
        <w:rPr>
          <w:rFonts w:hint="eastAsia" w:asciiTheme="minorEastAsia" w:hAnsiTheme="minorEastAsia" w:eastAsiaTheme="minorEastAsia" w:cstheme="minorEastAsia"/>
          <w:color w:val="auto"/>
          <w:sz w:val="28"/>
          <w:szCs w:val="28"/>
          <w:highlight w:val="none"/>
        </w:rPr>
        <w:t xml:space="preserve"> ( 接受或不接受)联合体报价。</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 与采购人存在利害关系可能影响询价公正性的单位，不得参加报价。单位负责人为同一人或存在控股、管理关系的不同单位，不得参加同一合同包报价，否则，相关报价均无效。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6、在“信用中国”网站(http://www.creditchina. gov.cn/)中被列入失信被执行人名单的报价人，不得参加报价。</w:t>
      </w:r>
    </w:p>
    <w:p>
      <w:pPr>
        <w:pStyle w:val="2"/>
        <w:ind w:left="0" w:leftChars="0" w:firstLine="560" w:firstLineChars="200"/>
        <w:rPr>
          <w:rFonts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7、在“国家企业信用信息公示系统”网站（www.gsxt.gov.cn）中被列入严重违法失信企业名单的报价人，不得参加报价。</w:t>
      </w:r>
    </w:p>
    <w:p>
      <w:pPr>
        <w:pStyle w:val="6"/>
        <w:spacing w:before="0" w:after="0"/>
        <w:ind w:left="0" w:firstLine="0"/>
        <w:rPr>
          <w:rFonts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2"/>
          <w:sz w:val="28"/>
          <w:szCs w:val="28"/>
          <w:highlight w:val="none"/>
        </w:rPr>
        <w:t>六、报价预备会与现场踏勘</w:t>
      </w:r>
    </w:p>
    <w:p>
      <w:pPr>
        <w:spacing w:line="520" w:lineRule="exact"/>
        <w:ind w:firstLine="560" w:firstLineChars="200"/>
        <w:rPr>
          <w:rFonts w:asciiTheme="minorEastAsia" w:hAnsiTheme="minorEastAsia" w:eastAsiaTheme="minorEastAsia" w:cstheme="minorEastAsia"/>
          <w:color w:val="auto"/>
          <w:sz w:val="28"/>
          <w:szCs w:val="28"/>
          <w:highlight w:val="none"/>
        </w:rPr>
      </w:pPr>
      <w:r>
        <w:rPr>
          <w:rFonts w:hint="eastAsia" w:ascii="宋体" w:hAnsi="宋体"/>
          <w:bCs/>
          <w:color w:val="auto"/>
          <w:sz w:val="28"/>
          <w:szCs w:val="28"/>
          <w:highlight w:val="none"/>
        </w:rPr>
        <w:t>采购人不组织、召开现场踏勘和报价预备会。报价人可自行考察。</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七、采购文件的获取</w:t>
      </w:r>
    </w:p>
    <w:p>
      <w:pPr>
        <w:spacing w:line="600" w:lineRule="exact"/>
        <w:ind w:firstLine="560" w:firstLineChars="200"/>
        <w:rPr>
          <w:rFonts w:hAnsi="宋体"/>
          <w:color w:val="auto"/>
          <w:sz w:val="28"/>
          <w:szCs w:val="28"/>
          <w:highlight w:val="none"/>
        </w:rPr>
      </w:pPr>
      <w:r>
        <w:rPr>
          <w:rFonts w:hint="eastAsia" w:hAnsi="宋体"/>
          <w:color w:val="auto"/>
          <w:sz w:val="28"/>
          <w:szCs w:val="28"/>
          <w:highlight w:val="none"/>
        </w:rPr>
        <w:t>凡愿意参加报价的合格报价人请于</w:t>
      </w:r>
      <w:r>
        <w:rPr>
          <w:rFonts w:hint="eastAsia" w:hAnsi="宋体"/>
          <w:color w:val="auto"/>
          <w:sz w:val="28"/>
          <w:szCs w:val="28"/>
          <w:highlight w:val="none"/>
          <w:u w:val="single"/>
        </w:rPr>
        <w:t>2022年</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15</w:t>
      </w:r>
      <w:r>
        <w:rPr>
          <w:rFonts w:hint="eastAsia" w:hAnsi="宋体"/>
          <w:color w:val="auto"/>
          <w:sz w:val="28"/>
          <w:szCs w:val="28"/>
          <w:highlight w:val="none"/>
          <w:u w:val="single"/>
        </w:rPr>
        <w:t>日至2022年</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17</w:t>
      </w:r>
      <w:r>
        <w:rPr>
          <w:rFonts w:hint="eastAsia" w:hAnsi="宋体"/>
          <w:color w:val="auto"/>
          <w:sz w:val="28"/>
          <w:szCs w:val="28"/>
          <w:highlight w:val="none"/>
          <w:u w:val="single"/>
        </w:rPr>
        <w:t>日</w:t>
      </w:r>
      <w:r>
        <w:rPr>
          <w:rFonts w:hint="eastAsia" w:hAnsi="宋体"/>
          <w:color w:val="auto"/>
          <w:sz w:val="28"/>
          <w:szCs w:val="28"/>
          <w:highlight w:val="none"/>
        </w:rPr>
        <w:t>通过福建省高速公路养护工程有限公司（网址：</w:t>
      </w:r>
      <w:r>
        <w:rPr>
          <w:color w:val="auto"/>
          <w:highlight w:val="none"/>
        </w:rPr>
        <w:fldChar w:fldCharType="begin"/>
      </w:r>
      <w:r>
        <w:rPr>
          <w:color w:val="auto"/>
          <w:highlight w:val="none"/>
        </w:rPr>
        <w:instrText xml:space="preserve"> HYPERLINK "http://www.fjgsyh.com）下载采购文件。" </w:instrText>
      </w:r>
      <w:r>
        <w:rPr>
          <w:color w:val="auto"/>
          <w:highlight w:val="none"/>
        </w:rPr>
        <w:fldChar w:fldCharType="separate"/>
      </w:r>
      <w:r>
        <w:rPr>
          <w:rStyle w:val="33"/>
          <w:rFonts w:hint="eastAsia" w:hAnsi="宋体"/>
          <w:color w:val="auto"/>
          <w:sz w:val="28"/>
          <w:szCs w:val="28"/>
          <w:highlight w:val="none"/>
        </w:rPr>
        <w:t>www.fjgsyh.com）下载采购文件。</w:t>
      </w:r>
      <w:r>
        <w:rPr>
          <w:rStyle w:val="33"/>
          <w:rFonts w:hint="eastAsia" w:hAnsi="宋体"/>
          <w:color w:val="auto"/>
          <w:sz w:val="28"/>
          <w:szCs w:val="28"/>
          <w:highlight w:val="none"/>
        </w:rPr>
        <w:fldChar w:fldCharType="end"/>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八、报价文件的递交及相关事宜</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1、报价文件递交截止时间：</w:t>
      </w:r>
      <w:r>
        <w:rPr>
          <w:rFonts w:hint="eastAsia" w:asciiTheme="minorEastAsia" w:hAnsiTheme="minorEastAsia" w:eastAsiaTheme="minorEastAsia" w:cstheme="minorEastAsia"/>
          <w:color w:val="auto"/>
          <w:sz w:val="28"/>
          <w:szCs w:val="28"/>
          <w:highlight w:val="none"/>
          <w:u w:val="single"/>
        </w:rPr>
        <w:t>2022年</w:t>
      </w:r>
      <w:r>
        <w:rPr>
          <w:rFonts w:hint="eastAsia" w:asciiTheme="minorEastAsia" w:hAnsiTheme="minorEastAsia" w:eastAsiaTheme="minorEastAsia" w:cstheme="minorEastAsia"/>
          <w:color w:val="auto"/>
          <w:sz w:val="28"/>
          <w:szCs w:val="28"/>
          <w:highlight w:val="none"/>
          <w:u w:val="single"/>
          <w:lang w:val="en-US" w:eastAsia="zh-CN"/>
        </w:rPr>
        <w:t>9</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20</w:t>
      </w:r>
      <w:r>
        <w:rPr>
          <w:rFonts w:hint="eastAsia" w:asciiTheme="minorEastAsia" w:hAnsiTheme="minorEastAsia" w:eastAsiaTheme="minorEastAsia" w:cstheme="minorEastAsia"/>
          <w:color w:val="auto"/>
          <w:sz w:val="28"/>
          <w:szCs w:val="28"/>
          <w:highlight w:val="none"/>
          <w:u w:val="single"/>
        </w:rPr>
        <w:t>日</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rPr>
        <w:t>:3</w:t>
      </w:r>
      <w:r>
        <w:rPr>
          <w:rFonts w:hint="eastAsia" w:asciiTheme="minorEastAsia" w:hAnsiTheme="minorEastAsia" w:eastAsiaTheme="minorEastAsia" w:cstheme="minorEastAsia"/>
          <w:color w:val="auto"/>
          <w:sz w:val="28"/>
          <w:szCs w:val="28"/>
          <w:highlight w:val="none"/>
          <w:u w:val="single"/>
          <w:lang w:val="en-US" w:eastAsia="zh-CN"/>
        </w:rPr>
        <w:t>0</w:t>
      </w:r>
      <w:r>
        <w:rPr>
          <w:rFonts w:hint="eastAsia" w:asciiTheme="minorEastAsia" w:hAnsiTheme="minorEastAsia" w:eastAsiaTheme="minorEastAsia" w:cstheme="minorEastAsia"/>
          <w:color w:val="auto"/>
          <w:sz w:val="28"/>
          <w:szCs w:val="28"/>
          <w:highlight w:val="none"/>
          <w:u w:val="single"/>
          <w:lang w:eastAsia="zh-CN"/>
        </w:rPr>
        <w:t>分</w:t>
      </w:r>
      <w:r>
        <w:rPr>
          <w:rFonts w:hint="eastAsia" w:asciiTheme="minorEastAsia" w:hAnsiTheme="minorEastAsia" w:eastAsiaTheme="minorEastAsia" w:cstheme="minorEastAsia"/>
          <w:color w:val="auto"/>
          <w:sz w:val="28"/>
          <w:szCs w:val="28"/>
          <w:highlight w:val="none"/>
          <w:u w:val="single"/>
        </w:rPr>
        <w:t>前</w:t>
      </w:r>
      <w:r>
        <w:rPr>
          <w:rFonts w:hint="eastAsia" w:asciiTheme="minorEastAsia" w:hAnsiTheme="minorEastAsia" w:eastAsiaTheme="minorEastAsia" w:cstheme="minorEastAsia"/>
          <w:color w:val="auto"/>
          <w:sz w:val="28"/>
          <w:szCs w:val="28"/>
          <w:highlight w:val="none"/>
        </w:rPr>
        <w:t>（北京时间）。</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2、报价文件必须在上述时间递交至：</w:t>
      </w:r>
      <w:r>
        <w:rPr>
          <w:rFonts w:hint="eastAsia" w:asciiTheme="minorEastAsia" w:hAnsiTheme="minorEastAsia" w:eastAsiaTheme="minorEastAsia" w:cstheme="minorEastAsia"/>
          <w:color w:val="auto"/>
          <w:sz w:val="28"/>
          <w:szCs w:val="28"/>
          <w:highlight w:val="none"/>
          <w:u w:val="single"/>
        </w:rPr>
        <w:t>宁德高速管理公司指定开标地点（</w:t>
      </w:r>
      <w:r>
        <w:rPr>
          <w:rFonts w:hint="eastAsia" w:asciiTheme="minorEastAsia" w:hAnsiTheme="minorEastAsia" w:eastAsiaTheme="minorEastAsia" w:cstheme="minorEastAsia"/>
          <w:bCs/>
          <w:color w:val="auto"/>
          <w:sz w:val="28"/>
          <w:szCs w:val="28"/>
          <w:highlight w:val="none"/>
          <w:u w:val="single"/>
        </w:rPr>
        <w:t>宁德市后岗开发区贵岐路1号经开公司1楼会议室</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bCs/>
          <w:color w:val="auto"/>
          <w:sz w:val="28"/>
          <w:szCs w:val="28"/>
          <w:highlight w:val="none"/>
          <w:u w:val="single"/>
        </w:rPr>
        <w:t>。</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3、逾期送达的、未送达指定地点的或不按照招标文件要求密封的报价文件，招标人将予以拒收。</w:t>
      </w:r>
    </w:p>
    <w:p>
      <w:pPr>
        <w:spacing w:line="600" w:lineRule="exact"/>
        <w:ind w:left="63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4、报价人应派其法人代表或其授权委托的代表出席，出席代表需携带法人代表证明或法人授权委托书、身份证及盖有单位公章的营业执照副本复印件以供审查。</w:t>
      </w:r>
    </w:p>
    <w:p>
      <w:pPr>
        <w:spacing w:line="600" w:lineRule="exact"/>
        <w:ind w:left="630"/>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5、定于2022年</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20</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u w:val="single"/>
        </w:rPr>
        <w:t>1</w:t>
      </w:r>
      <w:r>
        <w:rPr>
          <w:rFonts w:hint="eastAsia" w:asciiTheme="minorEastAsia" w:hAnsiTheme="minorEastAsia" w:eastAsiaTheme="minorEastAsia" w:cstheme="minorEastAsia"/>
          <w:color w:val="auto"/>
          <w:sz w:val="28"/>
          <w:szCs w:val="28"/>
          <w:highlight w:val="none"/>
          <w:u w:val="single"/>
          <w:lang w:val="en-US" w:eastAsia="zh-CN"/>
        </w:rPr>
        <w:t>5</w:t>
      </w:r>
      <w:r>
        <w:rPr>
          <w:rFonts w:hint="eastAsia" w:asciiTheme="minorEastAsia" w:hAnsiTheme="minorEastAsia" w:eastAsiaTheme="minorEastAsia" w:cstheme="minorEastAsia"/>
          <w:color w:val="auto"/>
          <w:sz w:val="28"/>
          <w:szCs w:val="28"/>
          <w:highlight w:val="none"/>
        </w:rPr>
        <w:t>时30分在</w:t>
      </w:r>
      <w:r>
        <w:rPr>
          <w:rFonts w:hint="eastAsia" w:asciiTheme="minorEastAsia" w:hAnsiTheme="minorEastAsia" w:eastAsiaTheme="minorEastAsia" w:cstheme="minorEastAsia"/>
          <w:color w:val="auto"/>
          <w:sz w:val="28"/>
          <w:szCs w:val="28"/>
          <w:highlight w:val="none"/>
          <w:u w:val="single"/>
        </w:rPr>
        <w:t>宁德市后岗开发区贵岐路</w:t>
      </w:r>
    </w:p>
    <w:p>
      <w:pPr>
        <w:spacing w:line="600" w:lineRule="exact"/>
        <w:rPr>
          <w:color w:val="auto"/>
          <w:highlight w:val="none"/>
        </w:rPr>
      </w:pPr>
      <w:r>
        <w:rPr>
          <w:rFonts w:hint="eastAsia" w:asciiTheme="minorEastAsia" w:hAnsiTheme="minorEastAsia" w:eastAsiaTheme="minorEastAsia" w:cstheme="minorEastAsia"/>
          <w:color w:val="auto"/>
          <w:sz w:val="28"/>
          <w:szCs w:val="28"/>
          <w:highlight w:val="none"/>
          <w:u w:val="single"/>
        </w:rPr>
        <w:t>1号</w:t>
      </w:r>
      <w:r>
        <w:rPr>
          <w:rFonts w:hint="eastAsia" w:asciiTheme="minorEastAsia" w:hAnsiTheme="minorEastAsia" w:eastAsiaTheme="minorEastAsia" w:cstheme="minorEastAsia"/>
          <w:bCs/>
          <w:color w:val="auto"/>
          <w:sz w:val="28"/>
          <w:szCs w:val="28"/>
          <w:highlight w:val="none"/>
          <w:u w:val="single"/>
        </w:rPr>
        <w:t>经开公司1楼会议室</w:t>
      </w:r>
      <w:r>
        <w:rPr>
          <w:rFonts w:hint="eastAsia" w:asciiTheme="minorEastAsia" w:hAnsiTheme="minorEastAsia" w:eastAsiaTheme="minorEastAsia" w:cstheme="minorEastAsia"/>
          <w:color w:val="auto"/>
          <w:sz w:val="28"/>
          <w:szCs w:val="28"/>
          <w:highlight w:val="none"/>
        </w:rPr>
        <w:t>开启报价文件，报价人应派其法人代表或其授权委托的代表出席，出席代表需携带法人代表证明或法人授权委托书、身份证及盖有单位公章的营业执照副本复印件以供审查。</w:t>
      </w:r>
    </w:p>
    <w:p>
      <w:pPr>
        <w:autoSpaceDE w:val="0"/>
        <w:autoSpaceDN w:val="0"/>
        <w:adjustRightInd w:val="0"/>
        <w:ind w:right="-23"/>
        <w:jc w:val="left"/>
        <w:outlineLvl w:val="2"/>
        <w:rPr>
          <w:rFonts w:ascii="宋体" w:hAnsi="宋体" w:cs="宋体"/>
          <w:b/>
          <w:bCs/>
          <w:color w:val="auto"/>
          <w:spacing w:val="1"/>
          <w:kern w:val="0"/>
          <w:sz w:val="28"/>
          <w:szCs w:val="28"/>
          <w:highlight w:val="none"/>
        </w:rPr>
      </w:pPr>
      <w:bookmarkStart w:id="6" w:name="_Toc513023643"/>
      <w:bookmarkStart w:id="7" w:name="_Toc11405"/>
      <w:bookmarkStart w:id="8" w:name="_Toc7349"/>
      <w:r>
        <w:rPr>
          <w:rFonts w:hint="eastAsia" w:ascii="宋体" w:hAnsi="宋体" w:cs="宋体"/>
          <w:b/>
          <w:bCs/>
          <w:color w:val="auto"/>
          <w:spacing w:val="1"/>
          <w:kern w:val="0"/>
          <w:sz w:val="28"/>
          <w:szCs w:val="28"/>
          <w:highlight w:val="none"/>
        </w:rPr>
        <w:t xml:space="preserve">九、 </w:t>
      </w:r>
      <w:bookmarkEnd w:id="6"/>
      <w:bookmarkEnd w:id="7"/>
      <w:bookmarkEnd w:id="8"/>
      <w:r>
        <w:rPr>
          <w:rFonts w:hint="eastAsia" w:ascii="宋体" w:hAnsi="宋体" w:cs="宋体"/>
          <w:b/>
          <w:bCs/>
          <w:color w:val="auto"/>
          <w:spacing w:val="1"/>
          <w:kern w:val="0"/>
          <w:sz w:val="28"/>
          <w:szCs w:val="28"/>
          <w:highlight w:val="none"/>
        </w:rPr>
        <w:t>中选原则</w:t>
      </w:r>
    </w:p>
    <w:p>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本项目采用单信封、资格后审，“合理低价”的评审方法</w:t>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十、防疫相关规定</w:t>
      </w:r>
    </w:p>
    <w:p>
      <w:pPr>
        <w:spacing w:line="500" w:lineRule="exact"/>
        <w:ind w:firstLine="562" w:firstLineChars="200"/>
        <w:rPr>
          <w:rFonts w:ascii="宋体" w:hAnsi="宋体" w:cs="宋体"/>
          <w:b/>
          <w:bCs/>
          <w:color w:val="auto"/>
          <w:sz w:val="28"/>
          <w:szCs w:val="28"/>
          <w:highlight w:val="none"/>
          <w:u w:val="double"/>
        </w:rPr>
      </w:pPr>
      <w:r>
        <w:rPr>
          <w:rFonts w:hint="eastAsia" w:ascii="宋体" w:hAnsi="宋体" w:cs="宋体"/>
          <w:b/>
          <w:bCs/>
          <w:color w:val="auto"/>
          <w:sz w:val="28"/>
          <w:szCs w:val="28"/>
          <w:highlight w:val="none"/>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十一、联系人</w:t>
      </w:r>
    </w:p>
    <w:p>
      <w:pPr>
        <w:pStyle w:val="17"/>
        <w:spacing w:line="600" w:lineRule="exact"/>
        <w:ind w:firstLine="280" w:firstLineChars="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联系人：蔡先生   </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话：15159303769</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箱：ndgsyhgs@126.com</w:t>
      </w:r>
    </w:p>
    <w:p>
      <w:pPr>
        <w:spacing w:line="600" w:lineRule="exact"/>
        <w:ind w:left="1259" w:leftChars="266" w:hanging="700" w:hanging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地址：宁德市后岗开发区贵岐路1号宁德市高速公路养护工程有限公司</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宁德市高速公路养护工程有限公司</w:t>
      </w:r>
    </w:p>
    <w:p>
      <w:pPr>
        <w:spacing w:line="600" w:lineRule="exact"/>
        <w:ind w:firstLine="5320" w:firstLineChars="1900"/>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single"/>
        </w:rPr>
        <w:t xml:space="preserve">2022年 </w:t>
      </w:r>
      <w:r>
        <w:rPr>
          <w:rFonts w:hint="eastAsia" w:asciiTheme="minorEastAsia" w:hAnsiTheme="minorEastAsia" w:eastAsiaTheme="minorEastAsia" w:cstheme="minorEastAsia"/>
          <w:color w:val="auto"/>
          <w:sz w:val="28"/>
          <w:szCs w:val="28"/>
          <w:highlight w:val="none"/>
          <w:u w:val="single"/>
          <w:lang w:val="en-US" w:eastAsia="zh-CN"/>
        </w:rPr>
        <w:t>9</w:t>
      </w:r>
      <w:r>
        <w:rPr>
          <w:rFonts w:hint="eastAsia" w:asciiTheme="minorEastAsia" w:hAnsiTheme="minorEastAsia" w:eastAsiaTheme="minorEastAsia" w:cstheme="minorEastAsia"/>
          <w:color w:val="auto"/>
          <w:sz w:val="28"/>
          <w:szCs w:val="28"/>
          <w:highlight w:val="none"/>
          <w:u w:val="single"/>
        </w:rPr>
        <w:t xml:space="preserve"> 月 </w:t>
      </w:r>
    </w:p>
    <w:p>
      <w:pPr>
        <w:pStyle w:val="19"/>
        <w:rPr>
          <w:rFonts w:asciiTheme="minorEastAsia" w:hAnsiTheme="minorEastAsia" w:eastAsiaTheme="minorEastAsia" w:cstheme="minorEastAsia"/>
          <w:color w:val="auto"/>
          <w:sz w:val="28"/>
          <w:szCs w:val="28"/>
          <w:highlight w:val="none"/>
          <w:u w:val="single"/>
        </w:rPr>
      </w:pPr>
    </w:p>
    <w:p>
      <w:pPr>
        <w:pStyle w:val="19"/>
        <w:rPr>
          <w:rFonts w:asciiTheme="minorEastAsia" w:hAnsiTheme="minorEastAsia" w:eastAsiaTheme="minorEastAsia" w:cstheme="minorEastAsia"/>
          <w:color w:val="auto"/>
          <w:sz w:val="28"/>
          <w:szCs w:val="28"/>
          <w:highlight w:val="none"/>
          <w:u w:val="single"/>
        </w:rPr>
        <w:sectPr>
          <w:footerReference r:id="rId5" w:type="first"/>
          <w:foot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p>
    <w:bookmarkEnd w:id="3"/>
    <w:bookmarkEnd w:id="4"/>
    <w:bookmarkEnd w:id="5"/>
    <w:p>
      <w:pPr>
        <w:pStyle w:val="3"/>
        <w:numPr>
          <w:ilvl w:val="0"/>
          <w:numId w:val="1"/>
        </w:numPr>
        <w:spacing w:before="0" w:after="0" w:line="240" w:lineRule="auto"/>
        <w:ind w:left="0"/>
        <w:rPr>
          <w:rFonts w:asciiTheme="minorEastAsia" w:hAnsiTheme="minorEastAsia" w:eastAsiaTheme="minorEastAsia" w:cstheme="minorEastAsia"/>
          <w:b/>
          <w:color w:val="auto"/>
          <w:kern w:val="2"/>
          <w:sz w:val="32"/>
          <w:szCs w:val="32"/>
          <w:highlight w:val="none"/>
        </w:rPr>
      </w:pPr>
      <w:bookmarkStart w:id="9" w:name="_Toc534893621"/>
      <w:r>
        <w:rPr>
          <w:rFonts w:hint="eastAsia" w:asciiTheme="minorEastAsia" w:hAnsiTheme="minorEastAsia" w:eastAsiaTheme="minorEastAsia" w:cstheme="minorEastAsia"/>
          <w:b/>
          <w:color w:val="auto"/>
          <w:kern w:val="2"/>
          <w:sz w:val="32"/>
          <w:szCs w:val="32"/>
          <w:highlight w:val="none"/>
        </w:rPr>
        <w:t xml:space="preserve"> 项目技术规格及质量要求</w:t>
      </w:r>
      <w:bookmarkEnd w:id="9"/>
    </w:p>
    <w:p>
      <w:pPr>
        <w:spacing w:line="600" w:lineRule="exact"/>
        <w:ind w:left="630"/>
        <w:rPr>
          <w:rFonts w:ascii="仿宋_GB2312" w:eastAsia="仿宋_GB2312"/>
          <w:b/>
          <w:color w:val="auto"/>
          <w:sz w:val="32"/>
          <w:szCs w:val="32"/>
          <w:highlight w:val="none"/>
        </w:rPr>
      </w:pPr>
      <w:r>
        <w:rPr>
          <w:rFonts w:hint="eastAsia" w:ascii="仿宋_GB2312" w:eastAsia="仿宋_GB2312"/>
          <w:b/>
          <w:color w:val="auto"/>
          <w:sz w:val="32"/>
          <w:szCs w:val="32"/>
          <w:highlight w:val="none"/>
        </w:rPr>
        <w:t>一、技术规格及质量要求：</w:t>
      </w:r>
    </w:p>
    <w:p>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严格按照设计图施工，工程质量应满足《公路桥涵施工技术规范》、《公路桥梁加固施工技术规范》；封道布控应满足《中华人民共和国安全生产法》 “安全第一，预防为主”的方针，严格按《公路隧道施工技术规范》（</w:t>
      </w:r>
      <w:r>
        <w:rPr>
          <w:rFonts w:ascii="仿宋_GB2312" w:eastAsia="仿宋_GB2312"/>
          <w:color w:val="auto"/>
          <w:sz w:val="32"/>
          <w:szCs w:val="32"/>
          <w:highlight w:val="none"/>
        </w:rPr>
        <w:t>JTG F60-2009</w:t>
      </w:r>
      <w:r>
        <w:rPr>
          <w:rFonts w:hint="eastAsia" w:ascii="仿宋_GB2312" w:eastAsia="仿宋_GB2312"/>
          <w:color w:val="auto"/>
          <w:sz w:val="32"/>
          <w:szCs w:val="32"/>
          <w:highlight w:val="none"/>
        </w:rPr>
        <w:t>）和《公路 工程施工安全技术规程》（</w:t>
      </w:r>
      <w:r>
        <w:rPr>
          <w:rFonts w:ascii="仿宋_GB2312" w:eastAsia="仿宋_GB2312"/>
          <w:color w:val="auto"/>
          <w:sz w:val="32"/>
          <w:szCs w:val="32"/>
          <w:highlight w:val="none"/>
        </w:rPr>
        <w:t>JTJ F90-2015</w:t>
      </w:r>
      <w:r>
        <w:rPr>
          <w:rFonts w:hint="eastAsia" w:ascii="仿宋_GB2312" w:eastAsia="仿宋_GB2312"/>
          <w:color w:val="auto"/>
          <w:sz w:val="32"/>
          <w:szCs w:val="32"/>
          <w:highlight w:val="none"/>
        </w:rPr>
        <w:t>）等规范规程的有关要求执行。工程质量等级应达合格以上。</w:t>
      </w:r>
    </w:p>
    <w:p>
      <w:pPr>
        <w:spacing w:line="600" w:lineRule="exact"/>
        <w:ind w:firstLine="643" w:firstLineChars="200"/>
        <w:rPr>
          <w:rFonts w:ascii="仿宋_GB2312" w:eastAsia="仿宋_GB2312"/>
          <w:b/>
          <w:bCs/>
          <w:color w:val="auto"/>
          <w:sz w:val="32"/>
          <w:szCs w:val="32"/>
          <w:highlight w:val="none"/>
        </w:rPr>
      </w:pPr>
      <w:bookmarkStart w:id="10" w:name="_Toc534893622"/>
      <w:r>
        <w:rPr>
          <w:rFonts w:hint="eastAsia" w:ascii="仿宋_GB2312" w:eastAsia="仿宋_GB2312"/>
          <w:b/>
          <w:bCs/>
          <w:color w:val="auto"/>
          <w:sz w:val="32"/>
          <w:szCs w:val="32"/>
          <w:highlight w:val="none"/>
        </w:rPr>
        <w:t>二、基本要求</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（一）质量保证</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（二）质保期</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1、施工缺陷责任期为一年；</w:t>
      </w:r>
    </w:p>
    <w:p>
      <w:pPr>
        <w:spacing w:line="600" w:lineRule="exact"/>
        <w:ind w:firstLine="640" w:firstLineChars="200"/>
        <w:rPr>
          <w:color w:val="auto"/>
          <w:highlight w:val="none"/>
        </w:rPr>
      </w:pPr>
      <w:r>
        <w:rPr>
          <w:rFonts w:hint="eastAsia" w:ascii="仿宋_GB2312" w:eastAsia="仿宋_GB2312"/>
          <w:color w:val="auto"/>
          <w:sz w:val="32"/>
          <w:szCs w:val="32"/>
          <w:highlight w:val="none"/>
        </w:rPr>
        <w:t>2、缺陷责任期内因材料及施工质量问题由承包商负责更换或维修并承担由此发生的一切费用。</w:t>
      </w:r>
    </w:p>
    <w:p>
      <w:pPr>
        <w:pStyle w:val="3"/>
        <w:spacing w:line="600" w:lineRule="exact"/>
        <w:rPr>
          <w:rFonts w:asciiTheme="minorEastAsia" w:hAnsiTheme="minorEastAsia" w:eastAsiaTheme="minorEastAsia" w:cstheme="minorEastAsia"/>
          <w:b/>
          <w:color w:val="auto"/>
          <w:kern w:val="2"/>
          <w:sz w:val="32"/>
          <w:szCs w:val="32"/>
          <w:highlight w:val="none"/>
        </w:rPr>
      </w:pPr>
      <w:r>
        <w:rPr>
          <w:color w:val="auto"/>
          <w:sz w:val="32"/>
          <w:szCs w:val="32"/>
          <w:highlight w:val="none"/>
        </w:rPr>
        <w:br w:type="page"/>
      </w:r>
      <w:r>
        <w:rPr>
          <w:rFonts w:hint="eastAsia" w:asciiTheme="minorEastAsia" w:hAnsiTheme="minorEastAsia" w:eastAsiaTheme="minorEastAsia" w:cstheme="minorEastAsia"/>
          <w:b/>
          <w:color w:val="auto"/>
          <w:kern w:val="2"/>
          <w:sz w:val="32"/>
          <w:szCs w:val="32"/>
          <w:highlight w:val="none"/>
        </w:rPr>
        <w:t>第三篇  报价人须知</w:t>
      </w:r>
      <w:bookmarkEnd w:id="10"/>
    </w:p>
    <w:p>
      <w:pPr>
        <w:jc w:val="center"/>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报价人须知前附表</w:t>
      </w:r>
    </w:p>
    <w:tbl>
      <w:tblPr>
        <w:tblStyle w:val="2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序号</w:t>
            </w:r>
          </w:p>
        </w:tc>
        <w:tc>
          <w:tcPr>
            <w:tcW w:w="2739"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条 款 名 称</w:t>
            </w:r>
          </w:p>
        </w:tc>
        <w:tc>
          <w:tcPr>
            <w:tcW w:w="5832"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p>
        </w:tc>
        <w:tc>
          <w:tcPr>
            <w:tcW w:w="2739" w:type="dxa"/>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tc>
        <w:tc>
          <w:tcPr>
            <w:tcW w:w="5832" w:type="dxa"/>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见竞价公告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采购项目名称</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u w:val="single"/>
              </w:rPr>
              <w:t>2022年宁德高速公路桥梁病害维修处治工程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项目建设地点</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inorEastAsia" w:hAnsiTheme="minorEastAsia" w:eastAsiaTheme="minorEastAsia" w:cstheme="minorEastAsia"/>
                <w:color w:val="auto"/>
                <w:sz w:val="28"/>
                <w:szCs w:val="28"/>
                <w:highlight w:val="none"/>
              </w:rPr>
              <w:t>见竞价公告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资金落实情况</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计划工期</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计划总工期：合同签订之日起</w:t>
            </w:r>
            <w:r>
              <w:rPr>
                <w:rFonts w:hint="eastAsia" w:asciiTheme="majorEastAsia" w:hAnsiTheme="majorEastAsia" w:eastAsiaTheme="majorEastAsia" w:cstheme="majorEastAsia"/>
                <w:color w:val="auto"/>
                <w:sz w:val="28"/>
                <w:szCs w:val="28"/>
                <w:highlight w:val="none"/>
                <w:lang w:val="en-US" w:eastAsia="zh-CN"/>
              </w:rPr>
              <w:t>60</w:t>
            </w:r>
            <w:r>
              <w:rPr>
                <w:rFonts w:hint="eastAsia" w:asciiTheme="majorEastAsia" w:hAnsiTheme="majorEastAsia" w:eastAsiaTheme="majorEastAsia" w:cstheme="majorEastAsia"/>
                <w:color w:val="auto"/>
                <w:sz w:val="28"/>
                <w:szCs w:val="28"/>
                <w:highlight w:val="none"/>
              </w:rPr>
              <w:t>个日历天内完成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质量要求</w:t>
            </w:r>
          </w:p>
        </w:tc>
        <w:tc>
          <w:tcPr>
            <w:tcW w:w="5832" w:type="dxa"/>
          </w:tcPr>
          <w:p>
            <w:pPr>
              <w:spacing w:line="276" w:lineRule="auto"/>
              <w:ind w:right="113"/>
              <w:rPr>
                <w:rFonts w:ascii="宋体" w:hAnsi="宋体"/>
                <w:color w:val="auto"/>
                <w:sz w:val="28"/>
                <w:szCs w:val="28"/>
                <w:highlight w:val="none"/>
              </w:rPr>
            </w:pPr>
            <w:r>
              <w:rPr>
                <w:rFonts w:hint="eastAsia" w:ascii="宋体" w:hAnsi="宋体"/>
                <w:color w:val="auto"/>
                <w:sz w:val="28"/>
                <w:szCs w:val="28"/>
                <w:highlight w:val="none"/>
              </w:rPr>
              <w:t>交工验收的质量评定：合格</w:t>
            </w:r>
          </w:p>
          <w:p>
            <w:pPr>
              <w:spacing w:line="600" w:lineRule="exact"/>
              <w:jc w:val="left"/>
              <w:rPr>
                <w:rFonts w:asciiTheme="majorEastAsia" w:hAnsiTheme="majorEastAsia" w:eastAsiaTheme="majorEastAsia" w:cstheme="majorEastAsia"/>
                <w:color w:val="auto"/>
                <w:sz w:val="28"/>
                <w:szCs w:val="28"/>
                <w:highlight w:val="none"/>
                <w:u w:val="single"/>
              </w:rPr>
            </w:pPr>
            <w:r>
              <w:rPr>
                <w:rFonts w:hint="eastAsia" w:ascii="宋体" w:hAnsi="宋体"/>
                <w:color w:val="auto"/>
                <w:sz w:val="28"/>
                <w:szCs w:val="28"/>
                <w:highlight w:val="none"/>
              </w:rPr>
              <w:t>竣工验收的质量评定：</w:t>
            </w:r>
            <w:r>
              <w:rPr>
                <w:rFonts w:hint="eastAsia" w:ascii="宋体" w:hAnsi="宋体" w:cs="宋体"/>
                <w:color w:val="auto"/>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9</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分包</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☑不允许 </w:t>
            </w:r>
          </w:p>
          <w:p>
            <w:pPr>
              <w:spacing w:line="600" w:lineRule="exact"/>
              <w:jc w:val="left"/>
              <w:rPr>
                <w:rFonts w:asciiTheme="majorEastAsia" w:hAnsiTheme="majorEastAsia" w:eastAsiaTheme="majorEastAsia" w:cstheme="majorEastAsia"/>
                <w:color w:val="auto"/>
                <w:sz w:val="28"/>
                <w:szCs w:val="28"/>
                <w:highlight w:val="none"/>
                <w:u w:val="single"/>
              </w:rPr>
            </w:pPr>
            <w:r>
              <w:rPr>
                <w:rFonts w:hint="eastAsia" w:asciiTheme="majorEastAsia" w:hAnsiTheme="majorEastAsia" w:eastAsiaTheme="majorEastAsia" w:cstheme="majorEastAsia"/>
                <w:color w:val="auto"/>
                <w:sz w:val="28"/>
                <w:szCs w:val="28"/>
                <w:highlight w:val="none"/>
              </w:rPr>
              <w:t>□允许，允许分包的专项工程（或不允许分包的专项工程）：</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10</w:t>
            </w:r>
          </w:p>
        </w:tc>
        <w:tc>
          <w:tcPr>
            <w:tcW w:w="2739" w:type="dxa"/>
            <w:vAlign w:val="center"/>
          </w:tcPr>
          <w:p>
            <w:pPr>
              <w:spacing w:line="276"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报价人提出问题、要求澄清采购文件</w:t>
            </w:r>
          </w:p>
        </w:tc>
        <w:tc>
          <w:tcPr>
            <w:tcW w:w="5832" w:type="dxa"/>
            <w:vAlign w:val="center"/>
          </w:tcPr>
          <w:p>
            <w:pPr>
              <w:spacing w:line="276" w:lineRule="auto"/>
              <w:ind w:left="105" w:leftChars="50" w:right="113"/>
              <w:rPr>
                <w:rFonts w:ascii="宋体" w:hAnsi="宋体"/>
                <w:color w:val="auto"/>
                <w:sz w:val="28"/>
                <w:szCs w:val="28"/>
                <w:highlight w:val="none"/>
              </w:rPr>
            </w:pPr>
            <w:r>
              <w:rPr>
                <w:rFonts w:hint="eastAsia" w:ascii="宋体" w:hAnsi="宋体"/>
                <w:color w:val="auto"/>
                <w:sz w:val="28"/>
                <w:szCs w:val="28"/>
                <w:highlight w:val="none"/>
              </w:rPr>
              <w:t>递交报价文件截止之日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11</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采购文件澄清、修改发出的形式</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olor w:val="auto"/>
                <w:sz w:val="28"/>
                <w:szCs w:val="28"/>
                <w:highlight w:val="none"/>
              </w:rPr>
              <w:t>采购人在报价截止日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天前，将以编号的补遗书发布在报价人邮箱，供报价人自行查阅和下载，采购人不再以其它方式通知报价人。</w:t>
            </w:r>
            <w:r>
              <w:rPr>
                <w:color w:val="auto"/>
                <w:highlight w:val="none"/>
              </w:rPr>
              <w:fldChar w:fldCharType="begin"/>
            </w:r>
            <w:r>
              <w:rPr>
                <w:color w:val="auto"/>
                <w:highlight w:val="none"/>
              </w:rPr>
              <w:instrText xml:space="preserve"> HYPERLINK "mailto:qzjsgs@126.com" </w:instrText>
            </w:r>
            <w:r>
              <w:rPr>
                <w:color w:val="auto"/>
                <w:highlight w:val="none"/>
              </w:rPr>
              <w:fldChar w:fldCharType="separate"/>
            </w:r>
            <w:r>
              <w:rPr>
                <w:color w:val="auto"/>
                <w:highlight w:val="none"/>
              </w:rPr>
              <w:fldChar w:fldCharType="end"/>
            </w:r>
            <w:r>
              <w:rPr>
                <w:rFonts w:hint="eastAsia" w:ascii="宋体" w:hAnsi="宋体"/>
                <w:color w:val="auto"/>
                <w:sz w:val="28"/>
                <w:szCs w:val="28"/>
                <w:highlight w:val="none"/>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12</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报价人确认收到采购文件澄清</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报价人确认收到采购文件修改</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报价文件密封形式</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 xml:space="preserve">双信封 </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报价方式</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 xml:space="preserve">单价 </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是否接受调价函</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最高报价限价</w:t>
            </w:r>
          </w:p>
        </w:tc>
        <w:tc>
          <w:tcPr>
            <w:tcW w:w="5832" w:type="dxa"/>
            <w:vAlign w:val="center"/>
          </w:tcPr>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w:t>
            </w:r>
          </w:p>
          <w:p>
            <w:pPr>
              <w:widowControl/>
              <w:ind w:left="280" w:hanging="280" w:hangingChars="100"/>
              <w:jc w:val="left"/>
              <w:rPr>
                <w:rFonts w:ascii="宋体" w:hAnsi="宋体" w:cs="宋体"/>
                <w:color w:val="auto"/>
                <w:kern w:val="0"/>
                <w:sz w:val="28"/>
                <w:szCs w:val="28"/>
                <w:highlight w:val="none"/>
              </w:rPr>
            </w:pPr>
            <w:r>
              <w:rPr>
                <w:rFonts w:hint="eastAsia" w:asciiTheme="majorEastAsia" w:hAnsiTheme="majorEastAsia" w:eastAsiaTheme="majorEastAsia" w:cstheme="majorEastAsia"/>
                <w:color w:val="auto"/>
                <w:sz w:val="28"/>
                <w:szCs w:val="28"/>
                <w:highlight w:val="none"/>
              </w:rPr>
              <w:t>☑</w:t>
            </w:r>
            <w:r>
              <w:rPr>
                <w:rFonts w:hint="eastAsia" w:ascii="宋体" w:hAnsi="宋体" w:cs="宋体"/>
                <w:color w:val="auto"/>
                <w:kern w:val="0"/>
                <w:sz w:val="28"/>
                <w:szCs w:val="28"/>
                <w:highlight w:val="none"/>
              </w:rPr>
              <w:t>有，最高报价限价（不含税金）：</w:t>
            </w:r>
            <w:r>
              <w:rPr>
                <w:rFonts w:hint="eastAsia" w:ascii="宋体" w:hAnsi="宋体" w:cs="宋体"/>
                <w:color w:val="auto"/>
                <w:kern w:val="0"/>
                <w:sz w:val="28"/>
                <w:szCs w:val="28"/>
                <w:highlight w:val="none"/>
                <w:u w:val="single"/>
              </w:rPr>
              <w:t>1663544</w:t>
            </w:r>
            <w:r>
              <w:rPr>
                <w:rFonts w:hint="eastAsia" w:asciiTheme="minorEastAsia" w:hAnsiTheme="minorEastAsia" w:eastAsiaTheme="minorEastAsia" w:cstheme="minorEastAsia"/>
                <w:color w:val="auto"/>
                <w:sz w:val="28"/>
                <w:szCs w:val="28"/>
                <w:highlight w:val="none"/>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17</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t>自报价人提交报价文件截止之日起计算</w:t>
            </w:r>
            <w:r>
              <w:rPr>
                <w:rFonts w:hint="eastAsia" w:ascii="宋体" w:hAnsi="宋体" w:cs="宋体"/>
                <w:color w:val="auto"/>
                <w:kern w:val="0"/>
                <w:sz w:val="28"/>
                <w:szCs w:val="28"/>
                <w:highlight w:val="none"/>
                <w:u w:val="single"/>
              </w:rPr>
              <w:t xml:space="preserve">30 </w:t>
            </w:r>
            <w:r>
              <w:rPr>
                <w:rFonts w:hint="eastAsia" w:ascii="宋体" w:hAnsi="宋体" w:cs="宋体"/>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18</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报价保证金</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是否要求报价人递交报价保证金： </w:t>
            </w:r>
          </w:p>
          <w:p>
            <w:pPr>
              <w:widowControl/>
              <w:jc w:val="left"/>
              <w:rPr>
                <w:rFonts w:ascii="宋体" w:hAnsi="宋体" w:cs="宋体"/>
                <w:color w:val="auto"/>
                <w:kern w:val="0"/>
                <w:sz w:val="28"/>
                <w:szCs w:val="28"/>
                <w:highlight w:val="none"/>
                <w:u w:val="single"/>
              </w:rPr>
            </w:pPr>
            <w:r>
              <w:rPr>
                <w:rFonts w:hint="eastAsia" w:asciiTheme="majorEastAsia" w:hAnsiTheme="majorEastAsia" w:eastAsiaTheme="majorEastAsia" w:cstheme="majorEastAsia"/>
                <w:color w:val="auto"/>
                <w:sz w:val="28"/>
                <w:szCs w:val="28"/>
                <w:highlight w:val="none"/>
                <w:lang w:eastAsia="zh-CN"/>
              </w:rPr>
              <w:t>☑</w:t>
            </w:r>
            <w:r>
              <w:rPr>
                <w:rFonts w:hint="eastAsia" w:ascii="宋体" w:hAnsi="宋体" w:cs="宋体"/>
                <w:color w:val="auto"/>
                <w:kern w:val="0"/>
                <w:sz w:val="28"/>
                <w:szCs w:val="28"/>
                <w:highlight w:val="none"/>
              </w:rPr>
              <w:t>要求，报价保证金的金额：</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2</w:t>
            </w:r>
            <w:r>
              <w:rPr>
                <w:rFonts w:hint="eastAsia" w:ascii="宋体" w:hAnsi="宋体" w:cs="宋体"/>
                <w:color w:val="auto"/>
                <w:kern w:val="0"/>
                <w:sz w:val="28"/>
                <w:szCs w:val="28"/>
                <w:highlight w:val="none"/>
                <w:u w:val="single"/>
              </w:rPr>
              <w:t xml:space="preserve">0000 元 </w:t>
            </w:r>
          </w:p>
          <w:p>
            <w:pPr>
              <w:widowControl/>
              <w:ind w:left="559" w:leftChars="266"/>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1、报价保证金采用形式：</w:t>
            </w:r>
            <w:r>
              <w:rPr>
                <w:rFonts w:hint="eastAsia" w:ascii="宋体" w:hAnsi="宋体" w:cs="宋体"/>
                <w:color w:val="auto"/>
                <w:kern w:val="0"/>
                <w:sz w:val="28"/>
                <w:szCs w:val="28"/>
                <w:highlight w:val="none"/>
                <w:u w:val="single"/>
              </w:rPr>
              <w:t>现金</w:t>
            </w:r>
            <w:r>
              <w:rPr>
                <w:rFonts w:hint="eastAsia" w:ascii="宋体" w:hAnsi="宋体" w:cs="宋体"/>
                <w:color w:val="auto"/>
                <w:kern w:val="0"/>
                <w:sz w:val="28"/>
                <w:szCs w:val="28"/>
                <w:highlight w:val="none"/>
              </w:rPr>
              <w:t>。</w:t>
            </w:r>
          </w:p>
          <w:p>
            <w:pPr>
              <w:widowControl/>
              <w:ind w:firstLine="560" w:firstLineChars="200"/>
              <w:jc w:val="left"/>
              <w:rPr>
                <w:color w:val="auto"/>
                <w:sz w:val="28"/>
                <w:szCs w:val="28"/>
                <w:highlight w:val="none"/>
              </w:rPr>
            </w:pPr>
            <w:r>
              <w:rPr>
                <w:rFonts w:hint="eastAsia" w:ascii="宋体" w:hAnsi="宋体" w:cs="宋体"/>
                <w:color w:val="auto"/>
                <w:kern w:val="0"/>
                <w:sz w:val="28"/>
                <w:szCs w:val="28"/>
                <w:highlight w:val="none"/>
              </w:rPr>
              <w:t>2、报价保证金用封套密封，封套上应载明信息：</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项目名称：</w:t>
            </w:r>
            <w:r>
              <w:rPr>
                <w:rFonts w:hint="eastAsia" w:cs="宋体"/>
                <w:color w:val="auto"/>
                <w:sz w:val="28"/>
                <w:szCs w:val="28"/>
                <w:highlight w:val="none"/>
                <w:u w:val="single"/>
              </w:rPr>
              <w:t>2022年宁德高速公路桥梁病害维修处治工程报价保证金；</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报价人名称：</w:t>
            </w:r>
          </w:p>
          <w:p>
            <w:pPr>
              <w:widowControl/>
              <w:ind w:firstLine="560" w:firstLineChars="200"/>
              <w:jc w:val="left"/>
              <w:rPr>
                <w:rFonts w:cs="宋体"/>
                <w:color w:val="auto"/>
                <w:kern w:val="0"/>
                <w:sz w:val="28"/>
                <w:szCs w:val="28"/>
                <w:highlight w:val="none"/>
              </w:rPr>
            </w:pPr>
            <w:r>
              <w:rPr>
                <w:rFonts w:hint="eastAsia" w:ascii="宋体" w:hAnsi="宋体" w:cs="宋体"/>
                <w:color w:val="auto"/>
                <w:kern w:val="0"/>
                <w:sz w:val="28"/>
                <w:szCs w:val="28"/>
                <w:highlight w:val="none"/>
              </w:rPr>
              <w:t>密封袋的封口处须加盖报价单位公章，</w:t>
            </w:r>
            <w:r>
              <w:rPr>
                <w:rFonts w:hint="eastAsia" w:cs="宋体"/>
                <w:color w:val="auto"/>
                <w:kern w:val="0"/>
                <w:sz w:val="28"/>
                <w:szCs w:val="28"/>
                <w:highlight w:val="none"/>
              </w:rPr>
              <w:t>因报价人未密封或密封不到位，其责任由报价人自行承担。</w:t>
            </w:r>
          </w:p>
          <w:p>
            <w:pPr>
              <w:pStyle w:val="2"/>
              <w:numPr>
                <w:ilvl w:val="0"/>
                <w:numId w:val="3"/>
              </w:numPr>
              <w:ind w:left="559" w:leftChars="266"/>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报价保证金有效期与报价有效期一致，</w:t>
            </w:r>
          </w:p>
          <w:p>
            <w:pPr>
              <w:pStyle w:val="2"/>
              <w:ind w:left="0" w:leftChars="0"/>
              <w:rPr>
                <w:color w:val="auto"/>
                <w:highlight w:val="none"/>
              </w:rPr>
            </w:pPr>
            <w:r>
              <w:rPr>
                <w:rFonts w:hint="eastAsia" w:asciiTheme="majorEastAsia" w:hAnsiTheme="majorEastAsia" w:eastAsiaTheme="majorEastAsia" w:cstheme="majorEastAsia"/>
                <w:color w:val="auto"/>
                <w:sz w:val="28"/>
                <w:szCs w:val="28"/>
                <w:highlight w:val="none"/>
              </w:rPr>
              <w:t>未中选单位的报价保证金在开启报价文件后</w:t>
            </w:r>
            <w:r>
              <w:rPr>
                <w:rFonts w:hint="eastAsia" w:asciiTheme="majorEastAsia" w:hAnsiTheme="majorEastAsia" w:eastAsiaTheme="majorEastAsia" w:cstheme="majorEastAsia"/>
                <w:color w:val="auto"/>
                <w:sz w:val="28"/>
                <w:szCs w:val="28"/>
                <w:highlight w:val="none"/>
                <w:u w:val="single"/>
              </w:rPr>
              <w:t>30</w:t>
            </w:r>
            <w:r>
              <w:rPr>
                <w:rFonts w:hint="eastAsia" w:asciiTheme="majorEastAsia" w:hAnsiTheme="majorEastAsia" w:eastAsiaTheme="majorEastAsia" w:cstheme="majorEastAsia"/>
                <w:color w:val="auto"/>
                <w:sz w:val="28"/>
                <w:szCs w:val="28"/>
                <w:highlight w:val="none"/>
              </w:rPr>
              <w:t>日内退还，中选单位的报价保证金直接转化为履约保证金。</w:t>
            </w:r>
          </w:p>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hint="eastAsia" w:ascii="宋体" w:hAnsi="宋体" w:cs="宋体"/>
                <w:color w:val="auto"/>
                <w:kern w:val="0"/>
                <w:sz w:val="28"/>
                <w:szCs w:val="28"/>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19</w:t>
            </w:r>
          </w:p>
        </w:tc>
        <w:tc>
          <w:tcPr>
            <w:tcW w:w="2739" w:type="dxa"/>
            <w:vAlign w:val="center"/>
          </w:tcPr>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20</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报价文件份数</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21</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封套上应载明的信息</w:t>
            </w:r>
          </w:p>
        </w:tc>
        <w:tc>
          <w:tcPr>
            <w:tcW w:w="5832" w:type="dxa"/>
            <w:vAlign w:val="center"/>
          </w:tcPr>
          <w:p>
            <w:pPr>
              <w:widowControl/>
              <w:jc w:val="left"/>
              <w:rPr>
                <w:color w:val="auto"/>
                <w:kern w:val="0"/>
                <w:sz w:val="28"/>
                <w:szCs w:val="28"/>
                <w:highlight w:val="none"/>
                <w:u w:val="single"/>
              </w:rPr>
            </w:pPr>
            <w:r>
              <w:rPr>
                <w:rFonts w:hint="eastAsia" w:ascii="宋体" w:hAnsi="宋体" w:cs="宋体"/>
                <w:color w:val="auto"/>
                <w:kern w:val="0"/>
                <w:sz w:val="28"/>
                <w:szCs w:val="28"/>
                <w:highlight w:val="none"/>
              </w:rPr>
              <w:t>采购人名称：</w:t>
            </w:r>
            <w:r>
              <w:rPr>
                <w:rFonts w:hint="eastAsia" w:ascii="宋体" w:hAnsi="宋体" w:cs="宋体"/>
                <w:color w:val="auto"/>
                <w:kern w:val="0"/>
                <w:sz w:val="28"/>
                <w:szCs w:val="28"/>
                <w:highlight w:val="none"/>
                <w:u w:val="single"/>
              </w:rPr>
              <w:t>宁德市高速公路养护工程有限公司</w:t>
            </w:r>
          </w:p>
          <w:p>
            <w:pPr>
              <w:widowControl/>
              <w:jc w:val="left"/>
              <w:rPr>
                <w:color w:val="auto"/>
                <w:sz w:val="28"/>
                <w:szCs w:val="28"/>
                <w:highlight w:val="none"/>
              </w:rPr>
            </w:pPr>
            <w:r>
              <w:rPr>
                <w:rFonts w:hint="eastAsia" w:ascii="宋体" w:hAnsi="宋体" w:cs="宋体"/>
                <w:color w:val="auto"/>
                <w:kern w:val="0"/>
                <w:sz w:val="28"/>
                <w:szCs w:val="28"/>
                <w:highlight w:val="none"/>
              </w:rPr>
              <w:t>采购人地址：</w:t>
            </w:r>
            <w:r>
              <w:rPr>
                <w:rFonts w:hint="eastAsia" w:asciiTheme="minorEastAsia" w:hAnsiTheme="minorEastAsia" w:eastAsiaTheme="minorEastAsia" w:cstheme="minorEastAsia"/>
                <w:color w:val="auto"/>
                <w:sz w:val="28"/>
                <w:szCs w:val="28"/>
                <w:highlight w:val="none"/>
                <w:u w:val="single"/>
              </w:rPr>
              <w:t>宁德市后岗开发区贵岐路1号</w:t>
            </w:r>
          </w:p>
          <w:p>
            <w:pPr>
              <w:widowControl/>
              <w:jc w:val="left"/>
              <w:rPr>
                <w:rFonts w:ascii="宋体" w:hAnsi="宋体" w:cs="宋体"/>
                <w:color w:val="auto"/>
                <w:kern w:val="0"/>
                <w:sz w:val="28"/>
                <w:szCs w:val="28"/>
                <w:highlight w:val="none"/>
              </w:rPr>
            </w:pPr>
          </w:p>
          <w:p>
            <w:pPr>
              <w:widowControl/>
              <w:jc w:val="left"/>
              <w:rPr>
                <w:rFonts w:ascii="宋体" w:hAnsi="宋体" w:cs="宋体"/>
                <w:color w:val="auto"/>
                <w:kern w:val="0"/>
                <w:sz w:val="28"/>
                <w:szCs w:val="28"/>
                <w:highlight w:val="none"/>
              </w:rPr>
            </w:pPr>
          </w:p>
          <w:p>
            <w:pPr>
              <w:widowControl/>
              <w:jc w:val="left"/>
              <w:rPr>
                <w:rFonts w:ascii="宋体" w:hAnsi="宋体" w:cs="宋体"/>
                <w:color w:val="auto"/>
                <w:kern w:val="0"/>
                <w:sz w:val="28"/>
                <w:szCs w:val="28"/>
                <w:highlight w:val="none"/>
              </w:rPr>
            </w:pP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项目名称：</w:t>
            </w:r>
            <w:r>
              <w:rPr>
                <w:rFonts w:hint="eastAsia" w:cs="宋体"/>
                <w:color w:val="auto"/>
                <w:sz w:val="28"/>
                <w:szCs w:val="28"/>
                <w:highlight w:val="none"/>
                <w:u w:val="single"/>
              </w:rPr>
              <w:t>2022年宁德高速公路桥梁病害维修处治工程</w:t>
            </w:r>
          </w:p>
          <w:p>
            <w:pPr>
              <w:widowControl/>
              <w:jc w:val="left"/>
              <w:rPr>
                <w:color w:val="auto"/>
                <w:sz w:val="28"/>
                <w:szCs w:val="28"/>
                <w:highlight w:val="none"/>
              </w:rPr>
            </w:pPr>
            <w:r>
              <w:rPr>
                <w:rFonts w:hint="eastAsia" w:ascii="宋体" w:hAnsi="宋体" w:cs="宋体"/>
                <w:color w:val="auto"/>
                <w:kern w:val="0"/>
                <w:sz w:val="28"/>
                <w:szCs w:val="28"/>
                <w:highlight w:val="none"/>
              </w:rPr>
              <w:t>施工采购报价文件在</w:t>
            </w:r>
            <w:r>
              <w:rPr>
                <w:rFonts w:hint="eastAsia" w:ascii="宋体" w:hAnsi="宋体" w:cs="宋体"/>
                <w:color w:val="auto"/>
                <w:kern w:val="0"/>
                <w:sz w:val="28"/>
                <w:szCs w:val="28"/>
                <w:highlight w:val="none"/>
                <w:u w:val="single"/>
              </w:rPr>
              <w:t>2022</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20</w:t>
            </w:r>
            <w:r>
              <w:rPr>
                <w:rFonts w:hint="eastAsia" w:ascii="宋体" w:hAnsi="宋体" w:cs="宋体"/>
                <w:color w:val="auto"/>
                <w:kern w:val="0"/>
                <w:sz w:val="28"/>
                <w:szCs w:val="28"/>
                <w:highlight w:val="none"/>
              </w:rPr>
              <w:t>日</w:t>
            </w:r>
            <w:r>
              <w:rPr>
                <w:rFonts w:hint="eastAsia" w:ascii="宋体" w:hAnsi="宋体" w:cs="宋体"/>
                <w:color w:val="auto"/>
                <w:kern w:val="0"/>
                <w:sz w:val="28"/>
                <w:szCs w:val="28"/>
                <w:highlight w:val="none"/>
                <w:lang w:val="en-US" w:eastAsia="zh-CN"/>
              </w:rPr>
              <w:t>15</w:t>
            </w:r>
            <w:r>
              <w:rPr>
                <w:rFonts w:hint="eastAsia" w:ascii="宋体" w:hAnsi="宋体" w:cs="宋体"/>
                <w:color w:val="auto"/>
                <w:kern w:val="0"/>
                <w:sz w:val="28"/>
                <w:szCs w:val="28"/>
                <w:highlight w:val="none"/>
              </w:rPr>
              <w:t>时</w:t>
            </w:r>
            <w:r>
              <w:rPr>
                <w:rFonts w:hint="eastAsia" w:ascii="宋体" w:hAnsi="宋体" w:cs="宋体"/>
                <w:color w:val="auto"/>
                <w:kern w:val="0"/>
                <w:sz w:val="28"/>
                <w:szCs w:val="28"/>
                <w:highlight w:val="none"/>
                <w:u w:val="single"/>
              </w:rPr>
              <w:t>30</w:t>
            </w:r>
            <w:r>
              <w:rPr>
                <w:rFonts w:hint="eastAsia" w:ascii="宋体" w:hAnsi="宋体" w:cs="宋体"/>
                <w:color w:val="auto"/>
                <w:kern w:val="0"/>
                <w:sz w:val="28"/>
                <w:szCs w:val="28"/>
                <w:highlight w:val="none"/>
              </w:rPr>
              <w:t xml:space="preserve">分前不得开启 </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报价人名称：</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22</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开启报价文件地点</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24</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开启报价文件程序</w:t>
            </w:r>
          </w:p>
        </w:tc>
        <w:tc>
          <w:tcPr>
            <w:tcW w:w="5832" w:type="dxa"/>
          </w:tcPr>
          <w:p>
            <w:pPr>
              <w:spacing w:line="276" w:lineRule="auto"/>
              <w:ind w:right="113"/>
              <w:rPr>
                <w:color w:val="auto"/>
                <w:sz w:val="28"/>
                <w:szCs w:val="28"/>
                <w:highlight w:val="none"/>
              </w:rPr>
            </w:pPr>
            <w:r>
              <w:rPr>
                <w:rFonts w:hint="eastAsia" w:ascii="宋体" w:hAnsi="宋体" w:cs="宋体"/>
                <w:color w:val="auto"/>
                <w:kern w:val="0"/>
                <w:sz w:val="28"/>
                <w:szCs w:val="28"/>
                <w:highlight w:val="none"/>
              </w:rPr>
              <w:t>（1）密封情况检查：</w:t>
            </w:r>
            <w:r>
              <w:rPr>
                <w:rFonts w:ascii="宋体" w:hAnsi="宋体"/>
                <w:color w:val="auto"/>
                <w:sz w:val="28"/>
                <w:szCs w:val="28"/>
                <w:highlight w:val="none"/>
                <w:u w:val="single"/>
              </w:rPr>
              <w:t>由报价人代表检查报价文件的密封情况</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t>（2）开标顺序：</w:t>
            </w:r>
            <w:r>
              <w:rPr>
                <w:rFonts w:hint="eastAsia"/>
                <w:color w:val="auto"/>
                <w:kern w:val="0"/>
                <w:sz w:val="28"/>
                <w:szCs w:val="28"/>
                <w:highlight w:val="none"/>
                <w:u w:val="single"/>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25</w:t>
            </w:r>
          </w:p>
        </w:tc>
        <w:tc>
          <w:tcPr>
            <w:tcW w:w="2739" w:type="dxa"/>
            <w:vAlign w:val="center"/>
          </w:tcPr>
          <w:p>
            <w:pPr>
              <w:spacing w:line="276" w:lineRule="auto"/>
              <w:rPr>
                <w:rFonts w:ascii="宋体" w:hAnsi="宋体"/>
                <w:color w:val="auto"/>
                <w:sz w:val="28"/>
                <w:szCs w:val="28"/>
                <w:highlight w:val="none"/>
              </w:rPr>
            </w:pPr>
            <w:r>
              <w:rPr>
                <w:rFonts w:ascii="宋体" w:hAnsi="宋体"/>
                <w:color w:val="auto"/>
                <w:sz w:val="28"/>
                <w:szCs w:val="28"/>
                <w:highlight w:val="none"/>
              </w:rPr>
              <w:t>是否退还报价文件</w:t>
            </w:r>
          </w:p>
        </w:tc>
        <w:tc>
          <w:tcPr>
            <w:tcW w:w="5832" w:type="dxa"/>
            <w:vAlign w:val="center"/>
          </w:tcPr>
          <w:p>
            <w:pPr>
              <w:spacing w:line="276" w:lineRule="auto"/>
              <w:ind w:left="105" w:leftChars="50" w:right="113"/>
              <w:rPr>
                <w:rFonts w:ascii="宋体" w:hAnsi="宋体"/>
                <w:color w:val="auto"/>
                <w:sz w:val="28"/>
                <w:szCs w:val="28"/>
                <w:highlight w:val="none"/>
              </w:rPr>
            </w:pPr>
            <w:r>
              <w:rPr>
                <w:rFonts w:ascii="宋体" w:hAnsi="宋体"/>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26</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评审方法：</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按</w:t>
            </w:r>
            <w:r>
              <w:rPr>
                <w:rFonts w:hint="eastAsia" w:asciiTheme="minorEastAsia" w:hAnsiTheme="minorEastAsia" w:eastAsiaTheme="minorEastAsia" w:cstheme="minorEastAsia"/>
                <w:color w:val="auto"/>
                <w:sz w:val="28"/>
                <w:szCs w:val="28"/>
                <w:highlight w:val="none"/>
                <w:u w:val="single"/>
              </w:rPr>
              <w:t>合理低价法</w:t>
            </w:r>
            <w:r>
              <w:rPr>
                <w:rFonts w:hint="eastAsia" w:asciiTheme="majorEastAsia" w:hAnsiTheme="majorEastAsia" w:eastAsiaTheme="majorEastAsia" w:cstheme="majorEastAsia"/>
                <w:color w:val="auto"/>
                <w:sz w:val="28"/>
                <w:szCs w:val="28"/>
                <w:highlight w:val="none"/>
              </w:rPr>
              <w:t>进行评审</w:t>
            </w:r>
            <w:r>
              <w:rPr>
                <w:rFonts w:hint="eastAsia" w:asciiTheme="minorEastAsia" w:hAnsiTheme="minorEastAsia" w:eastAsiaTheme="minorEastAsia" w:cstheme="minorEastAsia"/>
                <w:color w:val="auto"/>
                <w:sz w:val="28"/>
                <w:szCs w:val="28"/>
                <w:highlight w:val="none"/>
              </w:rPr>
              <w:t>，具体评审办法详见：第四篇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color w:val="auto"/>
                <w:sz w:val="28"/>
                <w:szCs w:val="28"/>
                <w:highlight w:val="none"/>
              </w:rPr>
            </w:pPr>
            <w:r>
              <w:rPr>
                <w:rFonts w:hint="eastAsia" w:ascii="宋体" w:cs="宋体"/>
                <w:color w:val="auto"/>
                <w:kern w:val="0"/>
                <w:sz w:val="28"/>
                <w:szCs w:val="28"/>
                <w:highlight w:val="none"/>
              </w:rPr>
              <w:t>成交</w:t>
            </w:r>
            <w:r>
              <w:rPr>
                <w:rFonts w:hint="eastAsia" w:ascii="宋体" w:cs="宋体"/>
                <w:color w:val="auto"/>
                <w:spacing w:val="-2"/>
                <w:kern w:val="0"/>
                <w:sz w:val="28"/>
                <w:szCs w:val="28"/>
                <w:highlight w:val="none"/>
              </w:rPr>
              <w:t>候</w:t>
            </w:r>
            <w:r>
              <w:rPr>
                <w:rFonts w:hint="eastAsia" w:ascii="宋体" w:cs="宋体"/>
                <w:color w:val="auto"/>
                <w:kern w:val="0"/>
                <w:sz w:val="28"/>
                <w:szCs w:val="28"/>
                <w:highlight w:val="none"/>
              </w:rPr>
              <w:t>选</w:t>
            </w:r>
            <w:r>
              <w:rPr>
                <w:rFonts w:hint="eastAsia" w:ascii="宋体" w:cs="宋体"/>
                <w:color w:val="auto"/>
                <w:spacing w:val="-2"/>
                <w:kern w:val="0"/>
                <w:sz w:val="28"/>
                <w:szCs w:val="28"/>
                <w:highlight w:val="none"/>
              </w:rPr>
              <w:t>人</w:t>
            </w:r>
            <w:r>
              <w:rPr>
                <w:rFonts w:hint="eastAsia" w:ascii="宋体" w:cs="宋体"/>
                <w:color w:val="auto"/>
                <w:kern w:val="0"/>
                <w:sz w:val="28"/>
                <w:szCs w:val="28"/>
                <w:highlight w:val="none"/>
              </w:rPr>
              <w:t>公</w:t>
            </w:r>
            <w:r>
              <w:rPr>
                <w:rFonts w:hint="eastAsia" w:ascii="宋体" w:cs="宋体"/>
                <w:color w:val="auto"/>
                <w:spacing w:val="-2"/>
                <w:kern w:val="0"/>
                <w:sz w:val="28"/>
                <w:szCs w:val="28"/>
                <w:highlight w:val="none"/>
              </w:rPr>
              <w:t>示</w:t>
            </w:r>
            <w:r>
              <w:rPr>
                <w:rFonts w:hint="eastAsia" w:ascii="宋体" w:cs="宋体"/>
                <w:color w:val="auto"/>
                <w:kern w:val="0"/>
                <w:sz w:val="28"/>
                <w:szCs w:val="28"/>
                <w:highlight w:val="none"/>
              </w:rPr>
              <w:t>媒</w:t>
            </w:r>
            <w:r>
              <w:rPr>
                <w:rFonts w:hint="eastAsia" w:ascii="宋体" w:cs="宋体"/>
                <w:color w:val="auto"/>
                <w:spacing w:val="-2"/>
                <w:kern w:val="0"/>
                <w:sz w:val="28"/>
                <w:szCs w:val="28"/>
                <w:highlight w:val="none"/>
              </w:rPr>
              <w:t>介</w:t>
            </w:r>
            <w:r>
              <w:rPr>
                <w:rFonts w:hint="eastAsia" w:ascii="宋体" w:cs="宋体"/>
                <w:color w:val="auto"/>
                <w:kern w:val="0"/>
                <w:sz w:val="28"/>
                <w:szCs w:val="28"/>
                <w:highlight w:val="none"/>
              </w:rPr>
              <w:t>及</w:t>
            </w:r>
            <w:r>
              <w:rPr>
                <w:rFonts w:hint="eastAsia" w:ascii="宋体" w:cs="宋体"/>
                <w:color w:val="auto"/>
                <w:spacing w:val="-2"/>
                <w:kern w:val="0"/>
                <w:sz w:val="28"/>
                <w:szCs w:val="28"/>
                <w:highlight w:val="none"/>
              </w:rPr>
              <w:t>期</w:t>
            </w:r>
            <w:r>
              <w:rPr>
                <w:rFonts w:hint="eastAsia" w:ascii="宋体" w:cs="宋体"/>
                <w:color w:val="auto"/>
                <w:kern w:val="0"/>
                <w:sz w:val="28"/>
                <w:szCs w:val="28"/>
                <w:highlight w:val="none"/>
              </w:rPr>
              <w:t>限</w:t>
            </w:r>
          </w:p>
        </w:tc>
        <w:tc>
          <w:tcPr>
            <w:tcW w:w="5832" w:type="dxa"/>
            <w:vAlign w:val="center"/>
          </w:tcPr>
          <w:p>
            <w:pPr>
              <w:autoSpaceDE w:val="0"/>
              <w:autoSpaceDN w:val="0"/>
              <w:adjustRightInd w:val="0"/>
              <w:ind w:right="-44" w:rightChars="-21"/>
              <w:rPr>
                <w:color w:val="auto"/>
                <w:spacing w:val="-2"/>
                <w:kern w:val="0"/>
                <w:sz w:val="28"/>
                <w:szCs w:val="28"/>
                <w:highlight w:val="none"/>
              </w:rPr>
            </w:pPr>
            <w:r>
              <w:rPr>
                <w:color w:val="auto"/>
                <w:spacing w:val="-2"/>
                <w:kern w:val="0"/>
                <w:sz w:val="28"/>
                <w:szCs w:val="28"/>
                <w:highlight w:val="none"/>
              </w:rPr>
              <w:t>公示媒介：</w:t>
            </w:r>
            <w:r>
              <w:rPr>
                <w:rFonts w:hint="eastAsia" w:hAnsi="宋体"/>
                <w:color w:val="auto"/>
                <w:sz w:val="28"/>
                <w:szCs w:val="28"/>
                <w:highlight w:val="none"/>
                <w:u w:val="single"/>
              </w:rPr>
              <w:t>福建省高速公路养护工程有限公司（网址：www.fjgsyh.com</w:t>
            </w:r>
            <w:r>
              <w:rPr>
                <w:rFonts w:hint="eastAsia" w:hAnsi="宋体"/>
                <w:color w:val="auto"/>
                <w:sz w:val="28"/>
                <w:szCs w:val="28"/>
                <w:highlight w:val="none"/>
              </w:rPr>
              <w:t>）</w:t>
            </w:r>
            <w:r>
              <w:rPr>
                <w:rFonts w:hint="eastAsia"/>
                <w:color w:val="auto"/>
                <w:spacing w:val="-2"/>
                <w:kern w:val="0"/>
                <w:sz w:val="28"/>
                <w:szCs w:val="28"/>
                <w:highlight w:val="none"/>
              </w:rPr>
              <w:t>。</w:t>
            </w:r>
          </w:p>
          <w:p>
            <w:pPr>
              <w:autoSpaceDE w:val="0"/>
              <w:autoSpaceDN w:val="0"/>
              <w:adjustRightInd w:val="0"/>
              <w:ind w:right="-216" w:rightChars="-103"/>
              <w:rPr>
                <w:color w:val="auto"/>
                <w:spacing w:val="-2"/>
                <w:kern w:val="0"/>
                <w:sz w:val="28"/>
                <w:szCs w:val="28"/>
                <w:highlight w:val="none"/>
              </w:rPr>
            </w:pPr>
            <w:r>
              <w:rPr>
                <w:color w:val="auto"/>
                <w:spacing w:val="-2"/>
                <w:kern w:val="0"/>
                <w:sz w:val="28"/>
                <w:szCs w:val="28"/>
                <w:highlight w:val="none"/>
              </w:rPr>
              <w:t>公示期限：</w:t>
            </w:r>
            <w:r>
              <w:rPr>
                <w:rFonts w:hint="eastAsia"/>
                <w:color w:val="auto"/>
                <w:spacing w:val="-2"/>
                <w:kern w:val="0"/>
                <w:sz w:val="28"/>
                <w:szCs w:val="28"/>
                <w:highlight w:val="none"/>
                <w:u w:val="single"/>
              </w:rPr>
              <w:t xml:space="preserve"> 3 </w:t>
            </w:r>
            <w:r>
              <w:rPr>
                <w:color w:val="auto"/>
                <w:spacing w:val="-2"/>
                <w:kern w:val="0"/>
                <w:sz w:val="28"/>
                <w:szCs w:val="28"/>
                <w:highlight w:val="none"/>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color w:val="auto"/>
                <w:sz w:val="28"/>
                <w:szCs w:val="28"/>
                <w:highlight w:val="none"/>
              </w:rPr>
            </w:pPr>
            <w:r>
              <w:rPr>
                <w:color w:val="auto"/>
                <w:spacing w:val="-2"/>
                <w:kern w:val="0"/>
                <w:sz w:val="28"/>
                <w:szCs w:val="28"/>
                <w:highlight w:val="none"/>
              </w:rPr>
              <w:t>公示的其他内容：</w:t>
            </w:r>
            <w:r>
              <w:rPr>
                <w:rFonts w:hint="eastAsia"/>
                <w:color w:val="auto"/>
                <w:spacing w:val="-2"/>
                <w:kern w:val="0"/>
                <w:sz w:val="28"/>
                <w:szCs w:val="28"/>
                <w:highlight w:val="none"/>
                <w:u w:val="single"/>
              </w:rPr>
              <w:t xml:space="preserve">    /  </w:t>
            </w:r>
            <w:r>
              <w:rPr>
                <w:rFonts w:hint="eastAsia"/>
                <w:color w:val="auto"/>
                <w:spacing w:val="-2"/>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28</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合同签订时间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中选通知书下达后</w:t>
            </w:r>
            <w:r>
              <w:rPr>
                <w:rFonts w:hint="eastAsia" w:asciiTheme="majorEastAsia" w:hAnsiTheme="majorEastAsia" w:eastAsiaTheme="majorEastAsia" w:cstheme="majorEastAsia"/>
                <w:color w:val="auto"/>
                <w:sz w:val="28"/>
                <w:szCs w:val="28"/>
                <w:highlight w:val="none"/>
                <w:u w:val="single"/>
              </w:rPr>
              <w:t>7</w:t>
            </w:r>
            <w:r>
              <w:rPr>
                <w:rFonts w:hint="eastAsia" w:asciiTheme="majorEastAsia" w:hAnsiTheme="majorEastAsia" w:eastAsiaTheme="majorEastAsia" w:cstheme="majorEastAsia"/>
                <w:color w:val="auto"/>
                <w:sz w:val="28"/>
                <w:szCs w:val="28"/>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29</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履约保证金</w:t>
            </w:r>
          </w:p>
        </w:tc>
        <w:tc>
          <w:tcPr>
            <w:tcW w:w="5832" w:type="dxa"/>
          </w:tcPr>
          <w:p>
            <w:pPr>
              <w:widowControl/>
              <w:jc w:val="left"/>
              <w:rPr>
                <w:color w:val="auto"/>
                <w:sz w:val="28"/>
                <w:szCs w:val="28"/>
                <w:highlight w:val="none"/>
              </w:rPr>
            </w:pPr>
            <w:r>
              <w:rPr>
                <w:rFonts w:hint="eastAsia" w:ascii="宋体" w:hAnsi="宋体" w:cs="宋体"/>
                <w:color w:val="auto"/>
                <w:kern w:val="0"/>
                <w:sz w:val="28"/>
                <w:szCs w:val="28"/>
                <w:highlight w:val="none"/>
              </w:rPr>
              <w:t xml:space="preserve">是否要求成交人提交履约保证金： </w:t>
            </w:r>
          </w:p>
          <w:p>
            <w:pPr>
              <w:widowControl/>
              <w:jc w:val="left"/>
              <w:rPr>
                <w:color w:val="auto"/>
                <w:sz w:val="28"/>
                <w:szCs w:val="28"/>
                <w:highlight w:val="none"/>
                <w:u w:val="single"/>
              </w:rPr>
            </w:pPr>
            <w:r>
              <w:rPr>
                <w:rFonts w:hint="eastAsia" w:asciiTheme="majorEastAsia" w:hAnsiTheme="majorEastAsia" w:eastAsiaTheme="majorEastAsia" w:cstheme="majorEastAsia"/>
                <w:color w:val="auto"/>
                <w:sz w:val="28"/>
                <w:szCs w:val="28"/>
                <w:highlight w:val="none"/>
              </w:rPr>
              <w:t>☑</w:t>
            </w:r>
            <w:r>
              <w:rPr>
                <w:rFonts w:hint="eastAsia" w:ascii="宋体" w:hAnsi="宋体" w:cs="宋体"/>
                <w:color w:val="auto"/>
                <w:kern w:val="0"/>
                <w:sz w:val="28"/>
                <w:szCs w:val="28"/>
                <w:highlight w:val="none"/>
              </w:rPr>
              <w:t>要求，履约保证金的形式：</w:t>
            </w:r>
            <w:r>
              <w:rPr>
                <w:rFonts w:hint="eastAsia" w:ascii="宋体" w:hAnsi="宋体" w:cs="宋体"/>
                <w:color w:val="auto"/>
                <w:kern w:val="0"/>
                <w:sz w:val="28"/>
                <w:szCs w:val="28"/>
                <w:highlight w:val="none"/>
                <w:u w:val="single"/>
              </w:rPr>
              <w:t>银行转账</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1、履约保证金的金额：</w:t>
            </w:r>
            <w:r>
              <w:rPr>
                <w:rFonts w:hint="eastAsia"/>
                <w:color w:val="auto"/>
                <w:kern w:val="0"/>
                <w:sz w:val="28"/>
                <w:szCs w:val="28"/>
                <w:highlight w:val="none"/>
                <w:u w:val="single"/>
              </w:rPr>
              <w:t xml:space="preserve"> 5 </w:t>
            </w:r>
            <w:r>
              <w:rPr>
                <w:rFonts w:hint="eastAsia" w:ascii="宋体" w:hAnsi="宋体" w:cs="宋体"/>
                <w:color w:val="auto"/>
                <w:kern w:val="0"/>
                <w:sz w:val="28"/>
                <w:szCs w:val="28"/>
                <w:highlight w:val="none"/>
              </w:rPr>
              <w:t>％签约合同价。</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开户银行：</w:t>
            </w:r>
            <w:r>
              <w:rPr>
                <w:rFonts w:hint="eastAsia"/>
                <w:color w:val="auto"/>
                <w:sz w:val="28"/>
                <w:szCs w:val="28"/>
                <w:highlight w:val="none"/>
                <w:u w:val="single"/>
              </w:rPr>
              <w:t>中国建设银行股份有限公司宁德分行营业部</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账号：</w:t>
            </w:r>
            <w:r>
              <w:rPr>
                <w:rFonts w:hint="eastAsia"/>
                <w:color w:val="auto"/>
                <w:sz w:val="28"/>
                <w:szCs w:val="28"/>
                <w:highlight w:val="none"/>
                <w:u w:val="single"/>
              </w:rPr>
              <w:t>35001682433050000662</w:t>
            </w:r>
          </w:p>
          <w:p>
            <w:pPr>
              <w:widowControl/>
              <w:numPr>
                <w:ilvl w:val="0"/>
                <w:numId w:val="4"/>
              </w:numPr>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汇款备注：（</w:t>
            </w:r>
            <w:r>
              <w:rPr>
                <w:rFonts w:hint="eastAsia" w:cs="宋体"/>
                <w:color w:val="auto"/>
                <w:sz w:val="28"/>
                <w:szCs w:val="28"/>
                <w:highlight w:val="none"/>
                <w:u w:val="single"/>
              </w:rPr>
              <w:t>2022年宁德高速公路桥梁病害维修处治工程</w:t>
            </w:r>
            <w:r>
              <w:rPr>
                <w:rFonts w:hint="eastAsia" w:ascii="宋体" w:hAnsi="宋体" w:cs="宋体"/>
                <w:color w:val="auto"/>
                <w:sz w:val="28"/>
                <w:szCs w:val="28"/>
                <w:highlight w:val="none"/>
                <w:u w:val="single"/>
              </w:rPr>
              <w:t>履约保证金）。</w:t>
            </w:r>
            <w:r>
              <w:rPr>
                <w:rFonts w:hint="eastAsia" w:ascii="宋体" w:hAnsi="宋体" w:cs="宋体"/>
                <w:color w:val="auto"/>
                <w:kern w:val="0"/>
                <w:sz w:val="28"/>
                <w:szCs w:val="28"/>
                <w:highlight w:val="none"/>
              </w:rPr>
              <w:t>因报价人汇款凭证未注明造成银行无法识别履约保证金到账情况或识别错误的，其责任由报价人自行承担。</w:t>
            </w:r>
          </w:p>
          <w:p>
            <w:pPr>
              <w:pStyle w:val="2"/>
              <w:ind w:left="279" w:leftChars="133" w:firstLine="280" w:firstLineChars="100"/>
              <w:rPr>
                <w:color w:val="auto"/>
                <w:sz w:val="28"/>
                <w:szCs w:val="28"/>
                <w:highlight w:val="none"/>
              </w:rPr>
            </w:pPr>
            <w:r>
              <w:rPr>
                <w:rFonts w:hint="eastAsia" w:cs="宋体"/>
                <w:color w:val="auto"/>
                <w:kern w:val="0"/>
                <w:sz w:val="28"/>
                <w:szCs w:val="28"/>
                <w:highlight w:val="none"/>
              </w:rPr>
              <w:t>4、中</w:t>
            </w:r>
            <w:r>
              <w:rPr>
                <w:rFonts w:hint="eastAsia" w:asciiTheme="majorEastAsia" w:hAnsiTheme="majorEastAsia" w:eastAsiaTheme="majorEastAsia" w:cstheme="majorEastAsia"/>
                <w:color w:val="auto"/>
                <w:sz w:val="28"/>
                <w:szCs w:val="28"/>
                <w:highlight w:val="none"/>
              </w:rPr>
              <w:t>选单位的报价保证金直接转化为履约保证金并与采购人签订施工合同前提交合同价的</w:t>
            </w:r>
            <w:r>
              <w:rPr>
                <w:rFonts w:hint="eastAsia" w:asciiTheme="majorEastAsia" w:hAnsiTheme="majorEastAsia" w:eastAsiaTheme="majorEastAsia" w:cstheme="majorEastAsia"/>
                <w:color w:val="auto"/>
                <w:sz w:val="28"/>
                <w:szCs w:val="28"/>
                <w:highlight w:val="none"/>
                <w:u w:val="single"/>
              </w:rPr>
              <w:t>5%的剩余部分</w:t>
            </w:r>
            <w:r>
              <w:rPr>
                <w:rFonts w:hint="eastAsia" w:asciiTheme="majorEastAsia" w:hAnsiTheme="majorEastAsia" w:eastAsiaTheme="majorEastAsia" w:cstheme="majorEastAsia"/>
                <w:color w:val="auto"/>
                <w:sz w:val="28"/>
                <w:szCs w:val="28"/>
                <w:highlight w:val="none"/>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hint="eastAsia" w:ascii="宋体" w:hAnsi="宋体" w:cs="宋体"/>
                <w:color w:val="auto"/>
                <w:kern w:val="0"/>
                <w:sz w:val="28"/>
                <w:szCs w:val="28"/>
                <w:highlight w:val="none"/>
              </w:rPr>
              <w:t xml:space="preserve">不要求 </w:t>
            </w:r>
          </w:p>
        </w:tc>
      </w:tr>
    </w:tbl>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一、报价费用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报价人在报价过程中的一切费用，不论中选与否，均由报价人自行负责。</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二、踏勘现场</w:t>
      </w:r>
    </w:p>
    <w:p>
      <w:pPr>
        <w:spacing w:line="600" w:lineRule="exact"/>
        <w:ind w:left="142" w:firstLine="560" w:firstLineChars="200"/>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三、意外伤害保险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报价人在进场前需提供作业人员人身意外保险单（可按团体险办理，个人意外保额在150万元及以上），</w:t>
      </w:r>
      <w:r>
        <w:rPr>
          <w:rFonts w:hint="eastAsia" w:asciiTheme="majorEastAsia" w:hAnsiTheme="majorEastAsia" w:eastAsiaTheme="majorEastAsia" w:cstheme="majorEastAsia"/>
          <w:color w:val="auto"/>
          <w:sz w:val="28"/>
          <w:szCs w:val="28"/>
          <w:highlight w:val="none"/>
          <w:u w:val="single"/>
        </w:rPr>
        <w:t>保险费用由成交人承担，不在另行支付</w:t>
      </w:r>
      <w:r>
        <w:rPr>
          <w:rFonts w:hint="eastAsia" w:asciiTheme="majorEastAsia" w:hAnsiTheme="majorEastAsia" w:eastAsiaTheme="majorEastAsia" w:cstheme="majorEastAsia"/>
          <w:color w:val="auto"/>
          <w:sz w:val="28"/>
          <w:szCs w:val="28"/>
          <w:highlight w:val="none"/>
        </w:rPr>
        <w:t>。在施工合同签订后5个工作日内报价人需将人身意外保险单报备采购人，否则不予开工。</w:t>
      </w:r>
    </w:p>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四、合同授予</w:t>
      </w:r>
    </w:p>
    <w:p>
      <w:pPr>
        <w:widowControl/>
        <w:ind w:firstLine="560" w:firstLineChars="200"/>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采购人和成交人应在中选通知书发出之日起</w:t>
      </w:r>
      <w:r>
        <w:rPr>
          <w:rFonts w:hint="eastAsia" w:asciiTheme="majorEastAsia" w:hAnsiTheme="majorEastAsia" w:eastAsiaTheme="majorEastAsia" w:cstheme="majorEastAsia"/>
          <w:color w:val="auto"/>
          <w:sz w:val="28"/>
          <w:szCs w:val="28"/>
          <w:highlight w:val="none"/>
          <w:u w:val="single"/>
        </w:rPr>
        <w:t xml:space="preserve"> 7 </w:t>
      </w:r>
      <w:r>
        <w:rPr>
          <w:rFonts w:hint="eastAsia" w:asciiTheme="majorEastAsia" w:hAnsiTheme="majorEastAsia" w:eastAsiaTheme="majorEastAsia" w:cstheme="majorEastAsia"/>
          <w:color w:val="auto"/>
          <w:sz w:val="28"/>
          <w:szCs w:val="28"/>
          <w:highlight w:val="none"/>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五、报价文件要求</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2、报价文件每页加盖单位公章,报价文件由以下部分和报价人所作的一切有效补充、修改和承诺等文件组成，具体见第</w:t>
      </w:r>
      <w:r>
        <w:rPr>
          <w:rFonts w:hint="eastAsia" w:asciiTheme="majorEastAsia" w:hAnsiTheme="majorEastAsia" w:eastAsiaTheme="majorEastAsia" w:cstheme="majorEastAsia"/>
          <w:color w:val="auto"/>
          <w:sz w:val="28"/>
          <w:szCs w:val="28"/>
          <w:highlight w:val="none"/>
          <w:u w:val="single"/>
        </w:rPr>
        <w:t>七</w:t>
      </w:r>
      <w:r>
        <w:rPr>
          <w:rFonts w:hint="eastAsia" w:asciiTheme="majorEastAsia" w:hAnsiTheme="majorEastAsia" w:eastAsiaTheme="majorEastAsia" w:cstheme="majorEastAsia"/>
          <w:color w:val="auto"/>
          <w:sz w:val="28"/>
          <w:szCs w:val="28"/>
          <w:highlight w:val="none"/>
        </w:rPr>
        <w:t>篇“报价文件格式”。它包括：</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(1)报价函。</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(2)报价表；</w:t>
      </w:r>
    </w:p>
    <w:p>
      <w:pPr>
        <w:spacing w:line="600" w:lineRule="exact"/>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3</w:t>
      </w:r>
      <w:r>
        <w:rPr>
          <w:rFonts w:hint="eastAsia" w:asciiTheme="majorEastAsia" w:hAnsiTheme="majorEastAsia" w:eastAsiaTheme="majorEastAsia" w:cstheme="majorEastAsia"/>
          <w:color w:val="auto"/>
          <w:sz w:val="28"/>
          <w:szCs w:val="28"/>
          <w:highlight w:val="none"/>
        </w:rPr>
        <w:t>)无拖欠农民工工资承诺书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4</w:t>
      </w:r>
      <w:r>
        <w:rPr>
          <w:rFonts w:hint="eastAsia" w:asciiTheme="majorEastAsia" w:hAnsiTheme="majorEastAsia" w:eastAsiaTheme="majorEastAsia" w:cstheme="majorEastAsia"/>
          <w:color w:val="auto"/>
          <w:sz w:val="28"/>
          <w:szCs w:val="28"/>
          <w:highlight w:val="none"/>
        </w:rPr>
        <w:t>)报价人法定代表人身份证明书；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5</w:t>
      </w:r>
      <w:r>
        <w:rPr>
          <w:rFonts w:hint="eastAsia" w:asciiTheme="majorEastAsia" w:hAnsiTheme="majorEastAsia" w:eastAsiaTheme="majorEastAsia" w:cstheme="majorEastAsia"/>
          <w:color w:val="auto"/>
          <w:sz w:val="28"/>
          <w:szCs w:val="28"/>
          <w:highlight w:val="none"/>
        </w:rPr>
        <w:t>)报价人法定代表人授权委托书；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6</w:t>
      </w:r>
      <w:r>
        <w:rPr>
          <w:rFonts w:hint="eastAsia" w:asciiTheme="majorEastAsia" w:hAnsiTheme="majorEastAsia" w:eastAsiaTheme="majorEastAsia" w:cstheme="majorEastAsia"/>
          <w:color w:val="auto"/>
          <w:sz w:val="28"/>
          <w:szCs w:val="28"/>
          <w:highlight w:val="none"/>
        </w:rPr>
        <w:t>)资信文件。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(1)报价人不具备采购文件规定的资格要求的。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(3)报价文件出现多个报价方案或报价的。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(4)报价总金额超出采购文件规定的采购最高控制价的。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(6)报价产品不符合必须强制执行的国家标准的。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最高控制价各项目清单单价含人工费、材料费、施工机具使用费、企业管理费、安全文明施工费、安全布控费、措施费、高速公路通行费、涉路工程施工审批、利润以及一定的风险费用等完成项目施工所有费用，不含税金，税金据实结算（结算提供增值税专用发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六、采购文件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1、采购文件由竞价公告，项目技术规格、数量及质量要求，报价人须知，评审方法，合同主要条款、合同格式，工程量清单、报价文件格式、疫情防控制度共</w:t>
      </w:r>
      <w:r>
        <w:rPr>
          <w:rFonts w:hint="eastAsia" w:asciiTheme="majorEastAsia" w:hAnsiTheme="majorEastAsia" w:eastAsiaTheme="majorEastAsia" w:cstheme="majorEastAsia"/>
          <w:color w:val="auto"/>
          <w:sz w:val="28"/>
          <w:szCs w:val="28"/>
          <w:highlight w:val="none"/>
          <w:u w:val="single"/>
        </w:rPr>
        <w:t>八部分</w:t>
      </w:r>
      <w:r>
        <w:rPr>
          <w:rFonts w:hint="eastAsia" w:asciiTheme="majorEastAsia" w:hAnsiTheme="majorEastAsia" w:eastAsiaTheme="majorEastAsia" w:cstheme="majorEastAsia"/>
          <w:color w:val="auto"/>
          <w:sz w:val="28"/>
          <w:szCs w:val="28"/>
          <w:highlight w:val="none"/>
        </w:rPr>
        <w:t>组成</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采购文件的澄清、修改等</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4、采购文件的解释权归宁德市高速公路养护工程有限公司所有。</w:t>
      </w:r>
      <w:bookmarkStart w:id="11" w:name="_Toc515983536"/>
      <w:bookmarkStart w:id="12" w:name="_Toc515961890"/>
      <w:bookmarkStart w:id="13" w:name="_Toc508286666"/>
    </w:p>
    <w:bookmarkEnd w:id="11"/>
    <w:bookmarkEnd w:id="12"/>
    <w:p>
      <w:pPr>
        <w:spacing w:line="600" w:lineRule="exact"/>
        <w:ind w:firstLine="560" w:firstLineChars="200"/>
        <w:rPr>
          <w:color w:val="auto"/>
          <w:sz w:val="32"/>
          <w:szCs w:val="32"/>
          <w:highlight w:val="none"/>
        </w:rPr>
      </w:pPr>
      <w:bookmarkStart w:id="14" w:name="_Toc534893623"/>
      <w:bookmarkStart w:id="15" w:name="_Toc409439684"/>
      <w:bookmarkStart w:id="16" w:name="_Toc508286670"/>
      <w:r>
        <w:rPr>
          <w:rFonts w:hint="eastAsia" w:asciiTheme="majorEastAsia" w:hAnsiTheme="majorEastAsia" w:eastAsiaTheme="majorEastAsia" w:cstheme="majorEastAsia"/>
          <w:color w:val="auto"/>
          <w:sz w:val="28"/>
          <w:szCs w:val="28"/>
          <w:highlight w:val="none"/>
        </w:rPr>
        <w:br w:type="page"/>
      </w:r>
      <w:bookmarkEnd w:id="14"/>
      <w:bookmarkEnd w:id="15"/>
      <w:bookmarkEnd w:id="16"/>
      <w:bookmarkStart w:id="17" w:name="_Toc515983537"/>
      <w:bookmarkStart w:id="18" w:name="_Toc508286675"/>
      <w:bookmarkStart w:id="19" w:name="_Toc515961891"/>
    </w:p>
    <w:bookmarkEnd w:id="13"/>
    <w:bookmarkEnd w:id="17"/>
    <w:bookmarkEnd w:id="18"/>
    <w:bookmarkEnd w:id="19"/>
    <w:p>
      <w:pPr>
        <w:pStyle w:val="3"/>
        <w:spacing w:before="0" w:after="0" w:line="240" w:lineRule="auto"/>
        <w:rPr>
          <w:color w:val="auto"/>
          <w:sz w:val="32"/>
          <w:szCs w:val="32"/>
          <w:highlight w:val="none"/>
        </w:rPr>
      </w:pPr>
      <w:bookmarkStart w:id="20" w:name="_Toc534893624"/>
      <w:bookmarkStart w:id="21" w:name="_Toc515983538"/>
      <w:bookmarkStart w:id="22" w:name="_Toc515961892"/>
      <w:bookmarkStart w:id="23" w:name="_Toc122257621"/>
      <w:bookmarkStart w:id="24" w:name="_Toc122750647"/>
      <w:r>
        <w:rPr>
          <w:rFonts w:hint="eastAsia"/>
          <w:color w:val="auto"/>
          <w:sz w:val="32"/>
          <w:szCs w:val="32"/>
          <w:highlight w:val="none"/>
        </w:rPr>
        <w:t>第四篇 评审办法</w:t>
      </w:r>
      <w:bookmarkEnd w:id="20"/>
    </w:p>
    <w:p>
      <w:pPr>
        <w:jc w:val="center"/>
        <w:rPr>
          <w:b/>
          <w:color w:val="auto"/>
          <w:sz w:val="28"/>
          <w:szCs w:val="28"/>
          <w:highlight w:val="none"/>
        </w:rPr>
      </w:pPr>
      <w:r>
        <w:rPr>
          <w:rFonts w:hint="eastAsia"/>
          <w:b/>
          <w:color w:val="auto"/>
          <w:sz w:val="28"/>
          <w:szCs w:val="28"/>
          <w:highlight w:val="none"/>
        </w:rPr>
        <w:t>合理低价法</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一、报价文件开封</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(一)报价文件开封在采购采购文件中“报价邀请书”确定的时间和地点公开进行。</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(三)评审会由采购人主持，采购人、报价人或有关方面代表参加。</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(五)报价文件开封过程由采购人指定专人负责记录，并存档备查。</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二、报价文件评审</w:t>
      </w:r>
    </w:p>
    <w:p>
      <w:pPr>
        <w:spacing w:line="560" w:lineRule="exact"/>
        <w:ind w:firstLine="560"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28"/>
          <w:szCs w:val="28"/>
          <w:highlight w:val="none"/>
        </w:rPr>
        <w:t>(一)评审小组的组成</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采购采购人按《采购法》的要求并根据采购采购项目特点组成评审小组，评审小组由采购人的有经济、技术等方面的人员组成，评审小组人数为5人。</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(二)评审方法和依据</w:t>
      </w:r>
    </w:p>
    <w:p>
      <w:pPr>
        <w:spacing w:line="560" w:lineRule="exact"/>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 xml:space="preserve">1．评审办法： </w:t>
      </w:r>
    </w:p>
    <w:p>
      <w:pPr>
        <w:jc w:val="center"/>
        <w:outlineLvl w:val="1"/>
        <w:rPr>
          <w:rFonts w:hint="eastAsia" w:ascii="宋体" w:hAnsi="宋体"/>
          <w:color w:val="auto"/>
          <w:sz w:val="32"/>
          <w:szCs w:val="32"/>
          <w:highlight w:val="none"/>
          <w:shd w:val="clear" w:color="auto" w:fill="FFFFFF"/>
        </w:rPr>
      </w:pPr>
    </w:p>
    <w:tbl>
      <w:tblPr>
        <w:tblStyle w:val="2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19"/>
        <w:gridCol w:w="664"/>
        <w:gridCol w:w="1287"/>
        <w:gridCol w:w="77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83"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08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83"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083"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int="eastAsia"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color w:val="auto"/>
                <w:szCs w:val="21"/>
                <w:highlight w:val="none"/>
              </w:rPr>
              <w:t xml:space="preserve">综合评分法的评审方法 </w:t>
            </w:r>
            <w:r>
              <w:rPr>
                <w:rFonts w:hAnsi="宋体"/>
                <w:color w:val="auto"/>
                <w:szCs w:val="21"/>
                <w:highlight w:val="none"/>
              </w:rPr>
              <w:t>，</w:t>
            </w:r>
            <w:r>
              <w:rPr>
                <w:rFonts w:hint="eastAsia" w:hAnsi="宋体"/>
                <w:color w:val="auto"/>
                <w:szCs w:val="21"/>
                <w:highlight w:val="none"/>
              </w:rPr>
              <w:t>评审</w:t>
            </w:r>
            <w:r>
              <w:rPr>
                <w:rFonts w:hAnsi="宋体"/>
                <w:color w:val="auto"/>
                <w:szCs w:val="21"/>
                <w:highlight w:val="none"/>
              </w:rPr>
              <w:t>委员对满足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tcBorders>
              <w:top w:val="single" w:color="000000" w:sz="6" w:space="0"/>
              <w:left w:val="single" w:color="000000" w:sz="6" w:space="0"/>
              <w:bottom w:val="single" w:color="000000" w:sz="6" w:space="0"/>
            </w:tcBorders>
            <w:vAlign w:val="center"/>
          </w:tcPr>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664"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083" w:type="dxa"/>
            <w:gridSpan w:val="2"/>
            <w:tcBorders>
              <w:top w:val="single" w:color="000000" w:sz="6" w:space="0"/>
              <w:bottom w:val="single" w:color="000000" w:sz="6" w:space="0"/>
              <w:right w:val="single" w:color="000000" w:sz="6" w:space="0"/>
            </w:tcBorders>
          </w:tcPr>
          <w:p>
            <w:pPr>
              <w:spacing w:line="400" w:lineRule="exac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Ansi="宋体"/>
                <w:color w:val="auto"/>
                <w:szCs w:val="21"/>
                <w:highlight w:val="none"/>
              </w:rPr>
              <w:t>采购函按采购文件规定填报了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采购函附表的所有数据均符合采购文件规定；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报价文件组成齐全完整，内容均按规定填写；</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）报价人法定代表人若亲自签署报价文件的，提供了法定代表人身份证明，法定代表人在法定代表人身份证明上签名。</w:t>
            </w:r>
          </w:p>
          <w:p>
            <w:pPr>
              <w:spacing w:line="400" w:lineRule="exact"/>
              <w:rPr>
                <w:color w:val="auto"/>
                <w:szCs w:val="21"/>
                <w:highlight w:val="none"/>
              </w:rPr>
            </w:pPr>
            <w:r>
              <w:rPr>
                <w:rFonts w:hAnsi="宋体"/>
                <w:color w:val="auto"/>
                <w:szCs w:val="21"/>
                <w:highlight w:val="none"/>
              </w:rPr>
              <w:t>（</w:t>
            </w:r>
            <w:r>
              <w:rPr>
                <w:color w:val="auto"/>
                <w:szCs w:val="21"/>
                <w:highlight w:val="none"/>
              </w:rPr>
              <w:t>6</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color w:val="auto"/>
                <w:szCs w:val="21"/>
                <w:highlight w:val="none"/>
              </w:rPr>
              <w:t>7</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color w:val="auto"/>
                <w:szCs w:val="21"/>
                <w:highlight w:val="none"/>
              </w:rPr>
              <w:t>8</w:t>
            </w:r>
            <w:r>
              <w:rPr>
                <w:rFonts w:hAnsi="宋体"/>
                <w:color w:val="auto"/>
                <w:szCs w:val="21"/>
                <w:highlight w:val="none"/>
              </w:rPr>
              <w:t>）报价文件载明的报价项目完成期限未超过采购文件规定的时限。</w:t>
            </w:r>
          </w:p>
          <w:p>
            <w:pPr>
              <w:spacing w:line="400" w:lineRule="exact"/>
              <w:rPr>
                <w:color w:val="auto"/>
                <w:szCs w:val="21"/>
                <w:highlight w:val="none"/>
              </w:rPr>
            </w:pPr>
            <w:r>
              <w:rPr>
                <w:rFonts w:hAnsi="宋体"/>
                <w:color w:val="auto"/>
                <w:szCs w:val="21"/>
                <w:highlight w:val="none"/>
              </w:rPr>
              <w:t>（</w:t>
            </w:r>
            <w:r>
              <w:rPr>
                <w:color w:val="auto"/>
                <w:szCs w:val="21"/>
                <w:highlight w:val="none"/>
              </w:rPr>
              <w:t>9</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color w:val="auto"/>
                <w:szCs w:val="21"/>
                <w:highlight w:val="none"/>
              </w:rPr>
              <w:t>10</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color w:val="auto"/>
                <w:szCs w:val="21"/>
                <w:highlight w:val="none"/>
              </w:rPr>
              <w:t>d</w:t>
            </w:r>
            <w:r>
              <w:rPr>
                <w:rFonts w:hAnsi="宋体"/>
                <w:color w:val="auto"/>
                <w:szCs w:val="21"/>
                <w:highlight w:val="none"/>
              </w:rPr>
              <w:t>.报价人在报价活动中无欺诈行为；</w:t>
            </w:r>
          </w:p>
          <w:p>
            <w:pPr>
              <w:spacing w:line="400" w:lineRule="exact"/>
              <w:ind w:firstLine="420" w:firstLineChars="200"/>
              <w:rPr>
                <w:rFonts w:hint="eastAsia" w:hAnsi="宋体"/>
                <w:color w:val="auto"/>
                <w:szCs w:val="21"/>
                <w:highlight w:val="none"/>
              </w:rPr>
            </w:pPr>
            <w:r>
              <w:rPr>
                <w:rFonts w:hAnsi="宋体"/>
                <w:color w:val="auto"/>
                <w:szCs w:val="21"/>
                <w:highlight w:val="none"/>
              </w:rPr>
              <w:t>e.报价人未对合同条款有重要保留</w:t>
            </w:r>
            <w:r>
              <w:rPr>
                <w:rFonts w:hint="eastAsia" w:hAnsi="宋体"/>
                <w:color w:val="auto"/>
                <w:szCs w:val="21"/>
                <w:highlight w:val="none"/>
              </w:rPr>
              <w:t>；</w:t>
            </w:r>
          </w:p>
          <w:p>
            <w:pPr>
              <w:spacing w:line="400" w:lineRule="exact"/>
              <w:ind w:firstLine="420" w:firstLineChars="200"/>
              <w:rPr>
                <w:rFonts w:hint="eastAsia"/>
                <w:color w:val="auto"/>
                <w:szCs w:val="21"/>
                <w:highlight w:val="none"/>
                <w:shd w:val="clear" w:color="auto" w:fill="FFFFFF"/>
              </w:rPr>
            </w:pPr>
            <w:r>
              <w:rPr>
                <w:rFonts w:hint="eastAsia" w:hAnsi="宋体"/>
                <w:color w:val="auto"/>
                <w:szCs w:val="21"/>
                <w:highlight w:val="none"/>
              </w:rPr>
              <w:t>f</w:t>
            </w:r>
            <w:r>
              <w:rPr>
                <w:rFonts w:hAnsi="宋体"/>
                <w:color w:val="auto"/>
                <w:szCs w:val="21"/>
                <w:highlight w:val="none"/>
              </w:rPr>
              <w:t>.</w:t>
            </w:r>
            <w:r>
              <w:rPr>
                <w:rFonts w:hint="eastAsia" w:hAnsi="宋体"/>
                <w:color w:val="auto"/>
                <w:szCs w:val="21"/>
                <w:highlight w:val="none"/>
              </w:rPr>
              <w:t>报价</w:t>
            </w:r>
            <w:r>
              <w:rPr>
                <w:rFonts w:hAnsi="宋体"/>
                <w:color w:val="auto"/>
                <w:szCs w:val="21"/>
                <w:highlight w:val="none"/>
              </w:rPr>
              <w:t>文件组成不完整、内容未按规定填写</w:t>
            </w:r>
            <w:r>
              <w:rPr>
                <w:rFonts w:hint="eastAsia" w:hAnsi="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83"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hint="eastAsia"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287" w:type="dxa"/>
            <w:tcBorders>
              <w:top w:val="single" w:color="000000" w:sz="6" w:space="0"/>
              <w:bottom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7796"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2" w:hRule="atLeast"/>
          <w:jc w:val="center"/>
        </w:trPr>
        <w:tc>
          <w:tcPr>
            <w:tcW w:w="619" w:type="dxa"/>
            <w:vMerge w:val="restart"/>
            <w:tcBorders>
              <w:top w:val="single" w:color="000000" w:sz="6" w:space="0"/>
              <w:left w:val="single" w:color="000000" w:sz="6" w:space="0"/>
              <w:bottom w:val="single" w:color="000000" w:sz="6" w:space="0"/>
            </w:tcBorders>
            <w:vAlign w:val="center"/>
          </w:tcPr>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p>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664" w:type="dxa"/>
            <w:vMerge w:val="restart"/>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p>
          <w:p>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287" w:type="dxa"/>
            <w:tcBorders>
              <w:top w:val="single" w:color="000000" w:sz="6" w:space="0"/>
              <w:bottom w:val="single" w:color="000000" w:sz="6" w:space="0"/>
            </w:tcBorders>
            <w:vAlign w:val="center"/>
          </w:tcPr>
          <w:p>
            <w:pPr>
              <w:spacing w:line="240" w:lineRule="exact"/>
              <w:jc w:val="center"/>
              <w:rPr>
                <w:b/>
                <w:bCs/>
                <w:color w:val="auto"/>
                <w:szCs w:val="21"/>
                <w:highlight w:val="none"/>
                <w:shd w:val="clear" w:color="auto" w:fill="FFFFFF"/>
              </w:rPr>
            </w:pPr>
            <w:r>
              <w:rPr>
                <w:rFonts w:hint="eastAsia"/>
                <w:color w:val="auto"/>
                <w:szCs w:val="21"/>
                <w:highlight w:val="none"/>
              </w:rPr>
              <w:t>报</w:t>
            </w:r>
            <w:r>
              <w:rPr>
                <w:color w:val="auto"/>
                <w:szCs w:val="21"/>
                <w:highlight w:val="none"/>
              </w:rPr>
              <w:t>价计算</w:t>
            </w:r>
          </w:p>
        </w:tc>
        <w:tc>
          <w:tcPr>
            <w:tcW w:w="7796"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w:t>
            </w:r>
            <w:r>
              <w:rPr>
                <w:color w:val="auto"/>
                <w:szCs w:val="21"/>
                <w:highlight w:val="none"/>
              </w:rPr>
              <w:t>价</w:t>
            </w:r>
            <w:r>
              <w:rPr>
                <w:rFonts w:hint="eastAsia"/>
                <w:color w:val="auto"/>
                <w:szCs w:val="21"/>
                <w:highlight w:val="none"/>
              </w:rPr>
              <w:t>（评审价）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19" w:type="dxa"/>
            <w:vMerge w:val="continue"/>
            <w:tcBorders>
              <w:top w:val="single" w:color="000000" w:sz="6" w:space="0"/>
              <w:left w:val="single" w:color="000000" w:sz="6" w:space="0"/>
              <w:bottom w:val="single" w:color="000000" w:sz="6" w:space="0"/>
            </w:tcBorders>
            <w:vAlign w:val="center"/>
          </w:tcPr>
          <w:p>
            <w:pPr>
              <w:jc w:val="center"/>
              <w:rPr>
                <w:rFonts w:hint="eastAsia" w:ascii="宋体" w:hAnsi="宋体"/>
                <w:b/>
                <w:bCs/>
                <w:color w:val="auto"/>
                <w:szCs w:val="21"/>
                <w:highlight w:val="none"/>
                <w:shd w:val="clear" w:color="auto" w:fill="FFFFFF"/>
              </w:rPr>
            </w:pPr>
          </w:p>
        </w:tc>
        <w:tc>
          <w:tcPr>
            <w:tcW w:w="664" w:type="dxa"/>
            <w:vMerge w:val="continue"/>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color w:val="auto"/>
                <w:szCs w:val="21"/>
                <w:highlight w:val="none"/>
                <w:shd w:val="clear" w:color="auto" w:fill="FFFFFF"/>
              </w:rPr>
            </w:pPr>
          </w:p>
        </w:tc>
        <w:tc>
          <w:tcPr>
            <w:tcW w:w="1287" w:type="dxa"/>
            <w:tcBorders>
              <w:top w:val="single" w:color="000000" w:sz="6" w:space="0"/>
              <w:bottom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7796" w:type="dxa"/>
            <w:tcBorders>
              <w:top w:val="single" w:color="000000" w:sz="6" w:space="0"/>
              <w:bottom w:val="single" w:color="000000" w:sz="6" w:space="0"/>
              <w:right w:val="single" w:color="000000" w:sz="6" w:space="0"/>
            </w:tcBorders>
            <w:vAlign w:val="center"/>
          </w:tcPr>
          <w:p>
            <w:pPr>
              <w:spacing w:line="400" w:lineRule="exact"/>
              <w:rPr>
                <w:rFonts w:hint="eastAsia" w:hAnsi="宋体"/>
                <w:color w:val="auto"/>
                <w:szCs w:val="21"/>
                <w:highlight w:val="none"/>
              </w:rPr>
            </w:pPr>
            <w:r>
              <w:rPr>
                <w:rFonts w:hint="eastAsia" w:hAnsi="宋体"/>
                <w:color w:val="auto"/>
                <w:szCs w:val="21"/>
                <w:highlight w:val="none"/>
              </w:rPr>
              <w:t>评审价得分：90分</w:t>
            </w:r>
          </w:p>
          <w:p>
            <w:pPr>
              <w:spacing w:line="400" w:lineRule="exact"/>
              <w:rPr>
                <w:rFonts w:hint="eastAsia" w:hAnsi="宋体"/>
                <w:color w:val="auto"/>
                <w:szCs w:val="21"/>
                <w:highlight w:val="none"/>
              </w:rPr>
            </w:pPr>
            <w:r>
              <w:rPr>
                <w:rFonts w:hint="eastAsia" w:hAnsi="宋体"/>
                <w:color w:val="auto"/>
                <w:szCs w:val="21"/>
                <w:highlight w:val="none"/>
              </w:rPr>
              <w:t>技术文件得分：10分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综合得分：评审价得分+技术文件得分。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olor w:val="auto"/>
                <w:szCs w:val="21"/>
                <w:highlight w:val="none"/>
                <w:shd w:val="clear" w:color="auto" w:fill="FFFFFF"/>
              </w:rPr>
            </w:pPr>
          </w:p>
        </w:tc>
        <w:tc>
          <w:tcPr>
            <w:tcW w:w="664"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7796"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color w:val="auto"/>
                <w:szCs w:val="21"/>
                <w:highlight w:val="none"/>
              </w:rPr>
            </w:pPr>
            <w:r>
              <w:rPr>
                <w:rFonts w:hAnsi="宋体"/>
                <w:b/>
                <w:bCs/>
                <w:color w:val="auto"/>
                <w:szCs w:val="21"/>
                <w:highlight w:val="none"/>
              </w:rPr>
              <w:t>评标基准价的确定：</w:t>
            </w:r>
          </w:p>
          <w:p>
            <w:pPr>
              <w:pStyle w:val="26"/>
              <w:ind w:left="0" w:leftChars="0" w:firstLine="0" w:firstLineChars="0"/>
              <w:rPr>
                <w:rFonts w:hint="eastAsia"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int="eastAsia" w:hAnsi="宋体"/>
                <w:color w:val="auto"/>
                <w:szCs w:val="21"/>
                <w:highlight w:val="none"/>
              </w:rPr>
            </w:pPr>
            <w:r>
              <w:rPr>
                <w:rFonts w:hint="eastAsia" w:hAnsi="宋体"/>
                <w:color w:val="auto"/>
                <w:szCs w:val="21"/>
                <w:highlight w:val="none"/>
              </w:rPr>
              <w:t xml:space="preserve"> </w:t>
            </w:r>
            <w:r>
              <w:rPr>
                <w:rFonts w:hint="eastAsia" w:hAnsi="宋体"/>
                <w:color w:val="auto"/>
                <w:szCs w:val="21"/>
                <w:highlight w:val="none"/>
              </w:rPr>
              <w:drawing>
                <wp:inline distT="0" distB="0" distL="0" distR="0">
                  <wp:extent cx="1680210" cy="627380"/>
                  <wp:effectExtent l="19050" t="0" r="0" b="0"/>
                  <wp:docPr id="47"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descr="111"/>
                          <pic:cNvPicPr>
                            <a:picLocks noChangeAspect="1" noChangeArrowheads="1"/>
                          </pic:cNvPicPr>
                        </pic:nvPicPr>
                        <pic:blipFill>
                          <a:blip r:embed="rId7"/>
                          <a:srcRect/>
                          <a:stretch>
                            <a:fillRect/>
                          </a:stretch>
                        </pic:blipFill>
                        <pic:spPr>
                          <a:xfrm>
                            <a:off x="0" y="0"/>
                            <a:ext cx="1680210" cy="627380"/>
                          </a:xfrm>
                          <a:prstGeom prst="rect">
                            <a:avLst/>
                          </a:prstGeom>
                          <a:noFill/>
                          <a:ln w="9525">
                            <a:noFill/>
                            <a:miter lim="800000"/>
                            <a:headEnd/>
                            <a:tailEnd/>
                          </a:ln>
                        </pic:spPr>
                      </pic:pic>
                    </a:graphicData>
                  </a:graphic>
                </wp:inline>
              </w:drawing>
            </w:r>
          </w:p>
          <w:p>
            <w:pPr>
              <w:widowControl/>
              <w:spacing w:line="400" w:lineRule="exact"/>
              <w:jc w:val="left"/>
              <w:rPr>
                <w:rFonts w:hint="eastAsia"/>
                <w:color w:val="auto"/>
                <w:highlight w:val="none"/>
              </w:rPr>
            </w:pPr>
            <w:r>
              <w:rPr>
                <w:rFonts w:hint="eastAsia" w:hAnsi="宋体"/>
                <w:color w:val="auto"/>
                <w:szCs w:val="21"/>
                <w:highlight w:val="none"/>
              </w:rPr>
              <w:t xml:space="preserve">  </w:t>
            </w:r>
            <w:r>
              <w:rPr>
                <w:rFonts w:hint="eastAsia"/>
                <w:color w:val="auto"/>
                <w:highlight w:val="none"/>
              </w:rPr>
              <w:t>A：评审基准价（取到整元）；</w:t>
            </w:r>
          </w:p>
          <w:p>
            <w:pPr>
              <w:widowControl/>
              <w:spacing w:line="400" w:lineRule="exact"/>
              <w:ind w:firstLine="210" w:firstLineChars="100"/>
              <w:jc w:val="left"/>
              <w:rPr>
                <w:rFonts w:hint="eastAsia"/>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int="eastAsia" w:hAnsi="宋体"/>
                <w:color w:val="auto"/>
                <w:szCs w:val="21"/>
                <w:highlight w:val="none"/>
              </w:rPr>
            </w:pPr>
            <w:r>
              <w:rPr>
                <w:rFonts w:hint="eastAsia"/>
                <w:color w:val="auto"/>
                <w:highlight w:val="none"/>
              </w:rPr>
              <w:t>n：可参与评审基准价计算的报价人数量。</w:t>
            </w:r>
          </w:p>
          <w:p>
            <w:pPr>
              <w:pStyle w:val="26"/>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5"/>
              </w:numPr>
              <w:spacing w:line="400" w:lineRule="exact"/>
              <w:jc w:val="left"/>
              <w:rPr>
                <w:rFonts w:hint="eastAsia"/>
                <w:color w:val="auto"/>
                <w:highlight w:val="none"/>
              </w:rPr>
            </w:pPr>
            <w:r>
              <w:rPr>
                <w:rFonts w:hint="eastAsia"/>
                <w:color w:val="auto"/>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rPr>
              <w:t>90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95%”的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rFonts w:hint="eastAsia"/>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olor w:val="auto"/>
                <w:szCs w:val="21"/>
                <w:highlight w:val="none"/>
                <w:shd w:val="clear" w:color="auto" w:fill="FFFFFF"/>
              </w:rPr>
            </w:pPr>
          </w:p>
        </w:tc>
        <w:tc>
          <w:tcPr>
            <w:tcW w:w="664"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7796"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w:t>
            </w:r>
            <w:r>
              <w:rPr>
                <w:rFonts w:hint="eastAsia"/>
                <w:color w:val="auto"/>
                <w:szCs w:val="21"/>
                <w:highlight w:val="none"/>
                <w:shd w:val="clear" w:color="auto" w:fill="FFFFFF"/>
              </w:rPr>
              <w:t>报价人评审</w:t>
            </w:r>
            <w:r>
              <w:rPr>
                <w:color w:val="auto"/>
                <w:szCs w:val="21"/>
                <w:highlight w:val="none"/>
                <w:shd w:val="clear" w:color="auto" w:fill="FFFFFF"/>
              </w:rPr>
              <w:t>价-</w:t>
            </w:r>
            <w:r>
              <w:rPr>
                <w:rFonts w:hint="eastAsia"/>
                <w:color w:val="auto"/>
                <w:szCs w:val="21"/>
                <w:highlight w:val="none"/>
                <w:shd w:val="clear" w:color="auto" w:fill="FFFFFF"/>
              </w:rPr>
              <w:t>评审</w:t>
            </w:r>
            <w:r>
              <w:rPr>
                <w:color w:val="auto"/>
                <w:szCs w:val="21"/>
                <w:highlight w:val="none"/>
                <w:shd w:val="clear" w:color="auto" w:fill="FFFFFF"/>
              </w:rPr>
              <w:t>基准价）/</w:t>
            </w:r>
            <w:r>
              <w:rPr>
                <w:rFonts w:hint="eastAsia"/>
                <w:color w:val="auto"/>
                <w:szCs w:val="21"/>
                <w:highlight w:val="none"/>
                <w:shd w:val="clear" w:color="auto" w:fill="FFFFFF"/>
              </w:rPr>
              <w:t>评审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tcBorders>
              <w:top w:val="single" w:color="000000" w:sz="6" w:space="0"/>
              <w:left w:val="single" w:color="000000" w:sz="6" w:space="0"/>
              <w:bottom w:val="single" w:color="000000" w:sz="6" w:space="0"/>
              <w:right w:val="single" w:color="000000" w:sz="6" w:space="0"/>
            </w:tcBorders>
            <w:vAlign w:val="center"/>
          </w:tcPr>
          <w:p>
            <w:pPr>
              <w:tabs>
                <w:tab w:val="left" w:pos="254"/>
              </w:tabs>
              <w:jc w:val="left"/>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eastAsia="zh-CN"/>
              </w:rPr>
              <w:tab/>
            </w:r>
            <w:r>
              <w:rPr>
                <w:rFonts w:hint="eastAsia" w:ascii="宋体" w:hAnsi="宋体"/>
                <w:color w:val="auto"/>
                <w:szCs w:val="21"/>
                <w:highlight w:val="none"/>
                <w:shd w:val="clear" w:color="auto" w:fill="FFFFFF"/>
                <w:lang w:val="en-US" w:eastAsia="zh-CN"/>
              </w:rPr>
              <w:t>4</w:t>
            </w:r>
          </w:p>
        </w:tc>
        <w:tc>
          <w:tcPr>
            <w:tcW w:w="664"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color w:val="auto"/>
                <w:szCs w:val="21"/>
                <w:highlight w:val="none"/>
                <w:shd w:val="clear" w:color="auto" w:fill="FFFFFF"/>
              </w:rPr>
            </w:pPr>
            <w:r>
              <w:rPr>
                <w:rFonts w:hint="eastAsia"/>
                <w:color w:val="auto"/>
                <w:szCs w:val="21"/>
                <w:highlight w:val="none"/>
                <w:shd w:val="clear" w:color="auto" w:fill="FFFFFF"/>
              </w:rPr>
              <w:t>评审</w:t>
            </w:r>
            <w:r>
              <w:rPr>
                <w:color w:val="auto"/>
                <w:szCs w:val="21"/>
                <w:highlight w:val="none"/>
                <w:shd w:val="clear" w:color="auto" w:fill="FFFFFF"/>
              </w:rPr>
              <w:t>价得分</w:t>
            </w:r>
          </w:p>
        </w:tc>
        <w:tc>
          <w:tcPr>
            <w:tcW w:w="7796"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color w:val="auto"/>
                <w:szCs w:val="21"/>
                <w:highlight w:val="none"/>
              </w:rPr>
            </w:pPr>
            <w:r>
              <w:rPr>
                <w:rFonts w:hint="eastAsia" w:hAnsi="宋体"/>
                <w:color w:val="auto"/>
                <w:szCs w:val="21"/>
                <w:highlight w:val="none"/>
              </w:rPr>
              <w:t>评审</w:t>
            </w:r>
            <w:r>
              <w:rPr>
                <w:rFonts w:hAnsi="宋体"/>
                <w:color w:val="auto"/>
                <w:szCs w:val="21"/>
                <w:highlight w:val="none"/>
              </w:rPr>
              <w:t>价得分计算公式示例：</w:t>
            </w:r>
          </w:p>
          <w:p>
            <w:pPr>
              <w:spacing w:line="300" w:lineRule="exact"/>
              <w:rPr>
                <w:rFonts w:hint="eastAsia" w:ascii="宋体" w:hAnsi="宋体"/>
                <w:color w:val="auto"/>
                <w:szCs w:val="21"/>
                <w:highlight w:val="none"/>
              </w:rPr>
            </w:pPr>
            <w:r>
              <w:rPr>
                <w:rFonts w:hint="eastAsia" w:ascii="宋体" w:hAnsi="宋体"/>
                <w:color w:val="auto"/>
                <w:szCs w:val="21"/>
                <w:highlight w:val="none"/>
              </w:rPr>
              <w:t>（1）如果报价人的评审价＞评审基准价，则评审价得分=90-偏差率×100×</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w:t>
            </w:r>
          </w:p>
          <w:p>
            <w:pPr>
              <w:spacing w:line="300" w:lineRule="exact"/>
              <w:rPr>
                <w:rFonts w:hint="eastAsia" w:ascii="宋体" w:hAnsi="宋体"/>
                <w:color w:val="auto"/>
                <w:szCs w:val="21"/>
                <w:highlight w:val="none"/>
              </w:rPr>
            </w:pPr>
            <w:r>
              <w:rPr>
                <w:rFonts w:hint="eastAsia" w:ascii="宋体" w:hAnsi="宋体"/>
                <w:color w:val="auto"/>
                <w:szCs w:val="21"/>
                <w:highlight w:val="none"/>
              </w:rPr>
              <w:t>（2）如果报价人的评审价≤评审基准价，则评审价得分=90+偏差率×100×</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300" w:lineRule="exact"/>
              <w:rPr>
                <w:rFonts w:hint="eastAsia" w:ascii="宋体" w:hAnsi="宋体"/>
                <w:color w:val="auto"/>
                <w:szCs w:val="21"/>
                <w:highlight w:val="none"/>
              </w:rPr>
            </w:pPr>
            <w:r>
              <w:rPr>
                <w:rFonts w:hint="eastAsia" w:ascii="宋体" w:hAnsi="宋体"/>
                <w:color w:val="auto"/>
                <w:szCs w:val="21"/>
                <w:highlight w:val="none"/>
              </w:rPr>
              <w:t>其中：</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是评审价每高于评审基准价一个百分点的扣分值；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是评审价每低于评审基准价一个百分点的扣分值。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应大于</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400" w:lineRule="exact"/>
              <w:rPr>
                <w:rFonts w:ascii="宋体" w:hAnsi="宋体"/>
                <w:b/>
                <w:color w:val="auto"/>
                <w:szCs w:val="21"/>
                <w:highlight w:val="none"/>
              </w:rPr>
            </w:pPr>
            <w:r>
              <w:rPr>
                <w:rFonts w:hint="eastAsia" w:ascii="宋体" w:hAnsi="宋体"/>
                <w:b/>
                <w:color w:val="auto"/>
                <w:szCs w:val="21"/>
                <w:highlight w:val="none"/>
              </w:rPr>
              <w:t>项目E</w:t>
            </w:r>
            <w:r>
              <w:rPr>
                <w:rFonts w:hint="eastAsia" w:ascii="宋体" w:hAnsi="宋体"/>
                <w:b/>
                <w:color w:val="auto"/>
                <w:szCs w:val="21"/>
                <w:highlight w:val="none"/>
                <w:vertAlign w:val="subscript"/>
              </w:rPr>
              <w:t>1</w:t>
            </w:r>
            <w:r>
              <w:rPr>
                <w:rFonts w:hint="eastAsia" w:ascii="宋体" w:hAnsi="宋体"/>
                <w:b/>
                <w:color w:val="auto"/>
                <w:szCs w:val="21"/>
                <w:highlight w:val="none"/>
              </w:rPr>
              <w:t>、E</w:t>
            </w:r>
            <w:r>
              <w:rPr>
                <w:rFonts w:hint="eastAsia" w:ascii="宋体" w:hAnsi="宋体"/>
                <w:b/>
                <w:color w:val="auto"/>
                <w:szCs w:val="21"/>
                <w:highlight w:val="none"/>
                <w:vertAlign w:val="subscript"/>
              </w:rPr>
              <w:t>2</w:t>
            </w:r>
            <w:r>
              <w:rPr>
                <w:rFonts w:hint="eastAsia" w:ascii="宋体" w:hAnsi="宋体"/>
                <w:b/>
                <w:color w:val="auto"/>
                <w:szCs w:val="21"/>
                <w:highlight w:val="none"/>
              </w:rPr>
              <w:t>取值分别为：E</w:t>
            </w:r>
            <w:r>
              <w:rPr>
                <w:rFonts w:hint="eastAsia" w:ascii="宋体" w:hAnsi="宋体"/>
                <w:b/>
                <w:color w:val="auto"/>
                <w:szCs w:val="21"/>
                <w:highlight w:val="none"/>
                <w:vertAlign w:val="subscript"/>
              </w:rPr>
              <w:t>1</w:t>
            </w:r>
            <w:r>
              <w:rPr>
                <w:rFonts w:hint="eastAsia" w:ascii="宋体" w:hAnsi="宋体"/>
                <w:b/>
                <w:color w:val="auto"/>
                <w:szCs w:val="21"/>
                <w:highlight w:val="none"/>
              </w:rPr>
              <w:t>=1.0   E</w:t>
            </w:r>
            <w:r>
              <w:rPr>
                <w:rFonts w:hint="eastAsia" w:ascii="宋体" w:hAnsi="宋体"/>
                <w:b/>
                <w:color w:val="auto"/>
                <w:szCs w:val="21"/>
                <w:highlight w:val="none"/>
                <w:vertAlign w:val="subscript"/>
              </w:rPr>
              <w:t>2</w:t>
            </w:r>
            <w:r>
              <w:rPr>
                <w:rFonts w:hint="eastAsia" w:ascii="宋体" w:hAnsi="宋体"/>
                <w:b/>
                <w:color w:val="auto"/>
                <w:szCs w:val="21"/>
                <w:highlight w:val="none"/>
              </w:rPr>
              <w:t>=0.5</w:t>
            </w:r>
          </w:p>
          <w:p>
            <w:pPr>
              <w:spacing w:line="400" w:lineRule="exact"/>
              <w:rPr>
                <w:rFonts w:hint="eastAsia"/>
                <w:b/>
                <w:bCs/>
                <w:color w:val="auto"/>
                <w:szCs w:val="21"/>
                <w:highlight w:val="none"/>
                <w:shd w:val="clear" w:color="auto" w:fill="FFFFFF"/>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5</w:t>
            </w:r>
          </w:p>
        </w:tc>
        <w:tc>
          <w:tcPr>
            <w:tcW w:w="664"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rFonts w:hint="eastAsia" w:hAnsi="宋体"/>
                <w:color w:val="auto"/>
                <w:szCs w:val="21"/>
                <w:highlight w:val="none"/>
              </w:rPr>
              <w:t>技术文件得分</w:t>
            </w:r>
          </w:p>
        </w:tc>
        <w:tc>
          <w:tcPr>
            <w:tcW w:w="7796" w:type="dxa"/>
            <w:tcBorders>
              <w:top w:val="single" w:color="000000" w:sz="6" w:space="0"/>
              <w:left w:val="single" w:color="000000" w:sz="6" w:space="0"/>
              <w:bottom w:val="single" w:color="000000" w:sz="6" w:space="0"/>
              <w:right w:val="single" w:color="000000" w:sz="6" w:space="0"/>
            </w:tcBorders>
          </w:tcPr>
          <w:p>
            <w:pPr>
              <w:widowControl/>
              <w:jc w:val="left"/>
              <w:textAlignment w:val="center"/>
              <w:rPr>
                <w:rFonts w:hint="eastAsia"/>
                <w:color w:val="auto"/>
                <w:highlight w:val="none"/>
              </w:rPr>
            </w:pPr>
            <w:r>
              <w:rPr>
                <w:rFonts w:hint="eastAsia"/>
                <w:color w:val="auto"/>
                <w:highlight w:val="none"/>
              </w:rPr>
              <w:t>（1）施工组织设计（满分4分）</w:t>
            </w:r>
          </w:p>
          <w:p>
            <w:pPr>
              <w:widowControl/>
              <w:jc w:val="left"/>
              <w:textAlignment w:val="center"/>
              <w:rPr>
                <w:rFonts w:hint="eastAsia"/>
                <w:color w:val="auto"/>
                <w:highlight w:val="none"/>
              </w:rPr>
            </w:pPr>
            <w:r>
              <w:rPr>
                <w:rFonts w:hint="eastAsia"/>
                <w:color w:val="auto"/>
                <w:highlight w:val="none"/>
              </w:rPr>
              <w:t>a.施工组织设计内容完整，得基本分2分。</w:t>
            </w:r>
          </w:p>
          <w:p>
            <w:pPr>
              <w:widowControl/>
              <w:jc w:val="left"/>
              <w:textAlignment w:val="center"/>
              <w:rPr>
                <w:rFonts w:hint="eastAsia"/>
                <w:color w:val="auto"/>
                <w:highlight w:val="none"/>
              </w:rPr>
            </w:pPr>
            <w:r>
              <w:rPr>
                <w:rFonts w:hint="eastAsia"/>
                <w:color w:val="auto"/>
                <w:highlight w:val="none"/>
              </w:rPr>
              <w:t>b.内容完整详细编制思路清晰，由评审小组在0～2分酌情加分。</w:t>
            </w:r>
          </w:p>
          <w:p>
            <w:pPr>
              <w:widowControl/>
              <w:jc w:val="left"/>
              <w:textAlignment w:val="center"/>
              <w:rPr>
                <w:rFonts w:hint="eastAsia"/>
                <w:color w:val="auto"/>
                <w:highlight w:val="none"/>
              </w:rPr>
            </w:pPr>
            <w:r>
              <w:rPr>
                <w:rFonts w:hint="eastAsia"/>
                <w:color w:val="auto"/>
                <w:highlight w:val="none"/>
              </w:rPr>
              <w:t xml:space="preserve">（2）交通组织方案(满分4分) </w:t>
            </w:r>
          </w:p>
          <w:p>
            <w:pPr>
              <w:widowControl/>
              <w:jc w:val="left"/>
              <w:textAlignment w:val="center"/>
              <w:rPr>
                <w:rFonts w:hint="eastAsia"/>
                <w:color w:val="auto"/>
                <w:highlight w:val="none"/>
              </w:rPr>
            </w:pPr>
            <w:r>
              <w:rPr>
                <w:rFonts w:hint="eastAsia"/>
                <w:color w:val="auto"/>
                <w:highlight w:val="none"/>
              </w:rPr>
              <w:t>a.交通组织方案符合路段路况，得基本分2分；</w:t>
            </w:r>
          </w:p>
          <w:p>
            <w:pPr>
              <w:widowControl/>
              <w:jc w:val="left"/>
              <w:textAlignment w:val="center"/>
              <w:rPr>
                <w:rFonts w:hint="eastAsia"/>
                <w:color w:val="auto"/>
                <w:highlight w:val="none"/>
              </w:rPr>
            </w:pPr>
            <w:r>
              <w:rPr>
                <w:rFonts w:hint="eastAsia"/>
                <w:color w:val="auto"/>
                <w:highlight w:val="none"/>
              </w:rPr>
              <w:t>b.内容完整详细编制思路清晰，</w:t>
            </w:r>
            <w:r>
              <w:rPr>
                <w:rFonts w:hint="eastAsia"/>
                <w:color w:val="auto"/>
                <w:highlight w:val="none"/>
                <w:lang w:val="zh-CN"/>
              </w:rPr>
              <w:t>由评</w:t>
            </w:r>
            <w:r>
              <w:rPr>
                <w:rFonts w:hint="eastAsia"/>
                <w:color w:val="auto"/>
                <w:highlight w:val="none"/>
              </w:rPr>
              <w:t>审小组</w:t>
            </w:r>
            <w:r>
              <w:rPr>
                <w:rFonts w:hint="eastAsia"/>
                <w:color w:val="auto"/>
                <w:highlight w:val="none"/>
                <w:lang w:val="zh-CN"/>
              </w:rPr>
              <w:t>在0～</w:t>
            </w:r>
            <w:r>
              <w:rPr>
                <w:rFonts w:hint="eastAsia"/>
                <w:color w:val="auto"/>
                <w:highlight w:val="none"/>
              </w:rPr>
              <w:t>2</w:t>
            </w:r>
            <w:r>
              <w:rPr>
                <w:rFonts w:hint="eastAsia"/>
                <w:color w:val="auto"/>
                <w:highlight w:val="none"/>
                <w:lang w:val="zh-CN"/>
              </w:rPr>
              <w:t>分酌情加分。</w:t>
            </w:r>
          </w:p>
          <w:p>
            <w:pPr>
              <w:widowControl/>
              <w:jc w:val="left"/>
              <w:textAlignment w:val="center"/>
              <w:rPr>
                <w:rFonts w:hint="eastAsia"/>
                <w:color w:val="auto"/>
                <w:highlight w:val="none"/>
              </w:rPr>
            </w:pPr>
            <w:r>
              <w:rPr>
                <w:rFonts w:hint="eastAsia"/>
                <w:color w:val="auto"/>
                <w:highlight w:val="none"/>
              </w:rPr>
              <w:t>（3）交通应急预案(满分2分)</w:t>
            </w:r>
          </w:p>
          <w:p>
            <w:pPr>
              <w:rPr>
                <w:rFonts w:hint="eastAsia"/>
                <w:color w:val="auto"/>
                <w:highlight w:val="none"/>
                <w:lang w:val="zh-CN"/>
              </w:rPr>
            </w:pPr>
            <w:r>
              <w:rPr>
                <w:rFonts w:hint="eastAsia"/>
                <w:color w:val="auto"/>
                <w:highlight w:val="none"/>
              </w:rPr>
              <w:t>a.应急预案符合路段路况，得基本分1分。</w:t>
            </w:r>
          </w:p>
          <w:p>
            <w:pPr>
              <w:widowControl/>
              <w:jc w:val="left"/>
              <w:textAlignment w:val="center"/>
              <w:rPr>
                <w:rFonts w:hint="eastAsia"/>
                <w:b/>
                <w:bCs/>
                <w:color w:val="auto"/>
                <w:szCs w:val="21"/>
                <w:highlight w:val="none"/>
                <w:shd w:val="clear" w:color="auto" w:fill="FFFFFF"/>
              </w:rPr>
            </w:pPr>
            <w:r>
              <w:rPr>
                <w:rFonts w:hint="eastAsia"/>
                <w:color w:val="auto"/>
                <w:highlight w:val="none"/>
              </w:rPr>
              <w:t>b.内容完整详细编制思路清晰，</w:t>
            </w:r>
            <w:r>
              <w:rPr>
                <w:rFonts w:hint="eastAsia"/>
                <w:color w:val="auto"/>
                <w:highlight w:val="none"/>
                <w:lang w:val="zh-CN"/>
              </w:rPr>
              <w:t>由评</w:t>
            </w:r>
            <w:r>
              <w:rPr>
                <w:rFonts w:hint="eastAsia"/>
                <w:color w:val="auto"/>
                <w:highlight w:val="none"/>
              </w:rPr>
              <w:t>审小组</w:t>
            </w:r>
            <w:r>
              <w:rPr>
                <w:rFonts w:hint="eastAsia"/>
                <w:color w:val="auto"/>
                <w:highlight w:val="none"/>
                <w:lang w:val="zh-CN"/>
              </w:rPr>
              <w:t>在0～</w:t>
            </w:r>
            <w:r>
              <w:rPr>
                <w:rFonts w:hint="eastAsia"/>
                <w:color w:val="auto"/>
                <w:highlight w:val="none"/>
              </w:rPr>
              <w:t>1</w:t>
            </w:r>
            <w:r>
              <w:rPr>
                <w:rFonts w:hint="eastAsia"/>
                <w:color w:val="auto"/>
                <w:highlight w:val="none"/>
                <w:lang w:val="zh-CN"/>
              </w:rPr>
              <w:t>分酌情加分。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9" w:type="dxa"/>
            <w:tcBorders>
              <w:top w:val="single" w:color="000000" w:sz="6" w:space="0"/>
              <w:left w:val="single" w:color="000000" w:sz="6" w:space="0"/>
              <w:bottom w:val="single" w:color="000000" w:sz="6" w:space="0"/>
            </w:tcBorders>
            <w:vAlign w:val="center"/>
          </w:tcPr>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lang w:val="en-US" w:eastAsia="zh-CN"/>
              </w:rPr>
              <w:t>6</w:t>
            </w:r>
          </w:p>
        </w:tc>
        <w:tc>
          <w:tcPr>
            <w:tcW w:w="664"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9083" w:type="dxa"/>
            <w:gridSpan w:val="2"/>
            <w:tcBorders>
              <w:top w:val="single" w:color="000000" w:sz="6" w:space="0"/>
              <w:bottom w:val="single" w:color="000000" w:sz="6" w:space="0"/>
              <w:right w:val="single" w:color="000000" w:sz="6" w:space="0"/>
            </w:tcBorders>
            <w:vAlign w:val="center"/>
          </w:tcPr>
          <w:p>
            <w:pPr>
              <w:spacing w:line="240" w:lineRule="exact"/>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若合格的报价人不足三家时，采购人将重新组织采购。</w:t>
            </w:r>
          </w:p>
        </w:tc>
      </w:tr>
    </w:tbl>
    <w:p>
      <w:pPr>
        <w:rPr>
          <w:color w:val="auto"/>
          <w:highlight w:val="none"/>
        </w:rPr>
      </w:pP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2．评审依据：</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评审的依据为采购文件（含有效的补充文件），评审小组判断报价人对采购文件的响应仅基于报价文件本身而不靠外部证据。</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3．评审原则：</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（1）对所有有效报价的评价，都采用相同的程序和标准。</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（2）评审严格按照采购文件的要求和条件进行。</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4．评审程序</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（1）根据《采购文件》的要求和规定，评审小组首先对各报价人提交的《报价文件》进行初审。</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初审分资格性检查和符合性检查：资格性检查是依据法律法规和采购文件的规定，对报价文件中的资格证明等进行审查，以确定报价人是否具备报价资格；符合性检查是依据采购文件的规定，从报价文件的有效性、完整性和对采购文件的响应程度进行审查，以确定报价人是否对采购文件的实质性要求作出响应。</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澄清有关问题。为了有助于对报价文件进行审查、评估和比较，评审小组可以对报价文件中含义不明确、同类问题表述不一致或者有明显文字和计算错误的内容向报价人质疑，要求报价人作出必要的澄清、说明或纠正。报价人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（3）比较与评价。评审小组对初审合格的报价文件按照采购文件中规定的评审方法和标准进行综合比较和评价。</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三、中选原则</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采购人（或其授权的评审小组）按照评审结果在福建省高速公路养护工程有限公司门户网站（www.fjgsyh.com）进行为期3天公示，公示期内无异议出售人将以书面形式向中选报价人发出《成交通知书》，并签订合同。</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(二)签订合同时变更数量的权力</w:t>
      </w:r>
    </w:p>
    <w:p>
      <w:pPr>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根据需要，采购人有权提出对采购项目作局部调整，但不得对采购文件和中选报价人的报价文件作实质性更改，并应经供需双方共同认定。</w:t>
      </w:r>
    </w:p>
    <w:p>
      <w:pPr>
        <w:pStyle w:val="3"/>
        <w:spacing w:line="600" w:lineRule="exact"/>
        <w:rPr>
          <w:rFonts w:hint="eastAsia" w:ascii="仿宋_GB2312" w:hAnsi="宋体" w:eastAsia="仿宋_GB2312"/>
          <w:b/>
          <w:bCs/>
          <w:color w:val="auto"/>
          <w:kern w:val="2"/>
          <w:sz w:val="32"/>
          <w:szCs w:val="32"/>
          <w:highlight w:val="none"/>
        </w:rPr>
        <w:sectPr>
          <w:pgSz w:w="11906" w:h="16838"/>
          <w:pgMar w:top="1701" w:right="1474" w:bottom="1134" w:left="1588" w:header="851" w:footer="992" w:gutter="0"/>
          <w:pgNumType w:fmt="numberInDash"/>
          <w:cols w:space="720" w:num="1"/>
          <w:titlePg/>
          <w:docGrid w:type="lines" w:linePitch="312" w:charSpace="0"/>
        </w:sectPr>
      </w:pPr>
    </w:p>
    <w:p>
      <w:pPr>
        <w:pStyle w:val="3"/>
        <w:spacing w:line="600" w:lineRule="exact"/>
        <w:rPr>
          <w:rFonts w:ascii="仿宋_GB2312" w:hAnsi="宋体" w:eastAsia="仿宋_GB2312"/>
          <w:b/>
          <w:bCs/>
          <w:color w:val="auto"/>
          <w:kern w:val="2"/>
          <w:sz w:val="32"/>
          <w:szCs w:val="32"/>
          <w:highlight w:val="none"/>
        </w:rPr>
      </w:pPr>
      <w:r>
        <w:rPr>
          <w:rFonts w:hint="eastAsia" w:ascii="仿宋_GB2312" w:hAnsi="宋体" w:eastAsia="仿宋_GB2312"/>
          <w:b/>
          <w:bCs/>
          <w:color w:val="auto"/>
          <w:kern w:val="2"/>
          <w:sz w:val="32"/>
          <w:szCs w:val="32"/>
          <w:highlight w:val="none"/>
        </w:rPr>
        <w:t>第五篇 最高控制价工程量清单</w:t>
      </w:r>
    </w:p>
    <w:tbl>
      <w:tblPr>
        <w:tblStyle w:val="27"/>
        <w:tblW w:w="0" w:type="auto"/>
        <w:tblInd w:w="93" w:type="dxa"/>
        <w:tblLayout w:type="autofit"/>
        <w:tblCellMar>
          <w:top w:w="0" w:type="dxa"/>
          <w:left w:w="108" w:type="dxa"/>
          <w:bottom w:w="0" w:type="dxa"/>
          <w:right w:w="108" w:type="dxa"/>
        </w:tblCellMar>
      </w:tblPr>
      <w:tblGrid>
        <w:gridCol w:w="1281"/>
        <w:gridCol w:w="1281"/>
        <w:gridCol w:w="1281"/>
        <w:gridCol w:w="1281"/>
        <w:gridCol w:w="1281"/>
        <w:gridCol w:w="1281"/>
        <w:gridCol w:w="1281"/>
      </w:tblGrid>
      <w:tr>
        <w:tblPrEx>
          <w:tblCellMar>
            <w:top w:w="0" w:type="dxa"/>
            <w:left w:w="108" w:type="dxa"/>
            <w:bottom w:w="0" w:type="dxa"/>
            <w:right w:w="108" w:type="dxa"/>
          </w:tblCellMar>
        </w:tblPrEx>
        <w:trPr>
          <w:trHeight w:val="775"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ascii="宋体" w:hAnsi="宋体" w:cs="宋体"/>
                <w:b/>
                <w:bCs/>
                <w:color w:val="auto"/>
                <w:sz w:val="36"/>
                <w:szCs w:val="36"/>
                <w:highlight w:val="none"/>
              </w:rPr>
            </w:pPr>
            <w:r>
              <w:rPr>
                <w:rFonts w:hint="eastAsia" w:ascii="宋体" w:hAnsi="宋体" w:cs="宋体"/>
                <w:b/>
                <w:bCs/>
                <w:color w:val="auto"/>
                <w:kern w:val="0"/>
                <w:sz w:val="36"/>
                <w:szCs w:val="36"/>
                <w:highlight w:val="none"/>
              </w:rPr>
              <w:t>2022年宁德高速公路桥梁病害维修处治工程工程量清单</w:t>
            </w:r>
          </w:p>
        </w:tc>
      </w:tr>
      <w:tr>
        <w:tblPrEx>
          <w:tblCellMar>
            <w:top w:w="0" w:type="dxa"/>
            <w:left w:w="108" w:type="dxa"/>
            <w:bottom w:w="0" w:type="dxa"/>
            <w:right w:w="108" w:type="dxa"/>
          </w:tblCellMar>
        </w:tblPrEx>
        <w:trPr>
          <w:trHeight w:val="45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沈海高速公路福宁段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126199.75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907.64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22691</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103508.75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57288.53</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443.3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21194.17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118.7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138.01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16381.79</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21.28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8948.45</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7.55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3174.78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支座裂缝封闭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47.94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2397</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785.4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其他病害修补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3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栏杆、护栏（聚合物砂浆修复）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10.48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4406.94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2751.97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2751.97</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186240.25</w:t>
            </w:r>
          </w:p>
        </w:tc>
      </w:tr>
      <w:tr>
        <w:tblPrEx>
          <w:tblCellMar>
            <w:top w:w="0" w:type="dxa"/>
            <w:left w:w="108" w:type="dxa"/>
            <w:bottom w:w="0" w:type="dxa"/>
            <w:right w:w="108" w:type="dxa"/>
          </w:tblCellMar>
        </w:tblPrEx>
        <w:trPr>
          <w:trHeight w:val="64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宁武高速公路宁德段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74254.05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809.92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12148.8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62105.25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46161.48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485.8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23240.67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117.1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138.09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16170.34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9.95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4186.66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模板未拆除</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处</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116.1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464.4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643.78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支座裂缝封闭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47.99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191.96</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262.03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786.09</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支座顶升复位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477.58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477.58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1806.06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1806.06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122221.59</w:t>
            </w:r>
          </w:p>
        </w:tc>
      </w:tr>
      <w:tr>
        <w:tblPrEx>
          <w:tblCellMar>
            <w:top w:w="0" w:type="dxa"/>
            <w:left w:w="108" w:type="dxa"/>
            <w:bottom w:w="0" w:type="dxa"/>
            <w:right w:w="108" w:type="dxa"/>
          </w:tblCellMar>
        </w:tblPrEx>
        <w:trPr>
          <w:trHeight w:val="45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甬莞高速公路宁德柘荣至福安段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50480.7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907.72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9077.2</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31277.33</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175.3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8379.34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137.99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8596.78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10.075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4237.44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0.24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100.93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支座橡胶裂缝封闭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47.95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239.75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更换防尘罩</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288.93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9245.76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支座串动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477.33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477.33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1226.65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1226.65</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82984.68</w:t>
            </w:r>
          </w:p>
        </w:tc>
      </w:tr>
      <w:tr>
        <w:tblPrEx>
          <w:tblCellMar>
            <w:top w:w="0" w:type="dxa"/>
            <w:left w:w="108" w:type="dxa"/>
            <w:bottom w:w="0" w:type="dxa"/>
            <w:right w:w="108" w:type="dxa"/>
          </w:tblCellMar>
        </w:tblPrEx>
        <w:trPr>
          <w:trHeight w:val="45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溧宁高速公路宁德福安至寿宁段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127519.25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960.42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24010.5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103508.75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144976.94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570.26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27258.43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730.84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137.98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100841.3</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31.57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13276.13</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6.38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2682.98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支座橡胶裂缝封闭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47.94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143.82</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204.37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204.37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支座串动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477.31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477.31</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限位钢条未拆除</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50.55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50.55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其他</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3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栏杆、护栏（聚合物砂浆修复）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4087.8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4087.8</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276583.99</w:t>
            </w:r>
          </w:p>
        </w:tc>
      </w:tr>
      <w:tr>
        <w:tblPrEx>
          <w:tblCellMar>
            <w:top w:w="0" w:type="dxa"/>
            <w:left w:w="108" w:type="dxa"/>
            <w:bottom w:w="0" w:type="dxa"/>
            <w:right w:w="108" w:type="dxa"/>
          </w:tblCellMar>
        </w:tblPrEx>
        <w:trPr>
          <w:trHeight w:val="48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京台高速公路宁德段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50477.1</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5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907.36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9073.6</w:t>
            </w:r>
          </w:p>
        </w:tc>
      </w:tr>
      <w:tr>
        <w:tblPrEx>
          <w:tblCellMar>
            <w:top w:w="0" w:type="dxa"/>
            <w:left w:w="108" w:type="dxa"/>
            <w:bottom w:w="0" w:type="dxa"/>
            <w:right w:w="108" w:type="dxa"/>
          </w:tblCellMar>
        </w:tblPrEx>
        <w:trPr>
          <w:trHeight w:val="28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r>
      <w:tr>
        <w:tblPrEx>
          <w:tblCellMar>
            <w:top w:w="0" w:type="dxa"/>
            <w:left w:w="108" w:type="dxa"/>
            <w:bottom w:w="0" w:type="dxa"/>
            <w:right w:w="108" w:type="dxa"/>
          </w:tblCellMar>
        </w:tblPrEx>
        <w:trPr>
          <w:trHeight w:val="28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33412.47</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92.55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4428.52</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159.2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138.09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21983.93</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9.095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420.39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3823.45</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517.03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更换防尘罩</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288.77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1443.85</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261.63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261.63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支座顶升复位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954.06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1258.62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1258.62</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85148.19</w:t>
            </w:r>
          </w:p>
        </w:tc>
      </w:tr>
      <w:tr>
        <w:tblPrEx>
          <w:tblCellMar>
            <w:top w:w="0" w:type="dxa"/>
            <w:left w:w="108" w:type="dxa"/>
            <w:bottom w:w="0" w:type="dxa"/>
            <w:right w:w="108" w:type="dxa"/>
          </w:tblCellMar>
        </w:tblPrEx>
        <w:trPr>
          <w:trHeight w:val="54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甬莞高速宁连段</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126201</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5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907.69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22692.25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103508.75</w:t>
            </w:r>
          </w:p>
        </w:tc>
      </w:tr>
      <w:tr>
        <w:tblPrEx>
          <w:tblCellMar>
            <w:top w:w="0" w:type="dxa"/>
            <w:left w:w="108" w:type="dxa"/>
            <w:bottom w:w="0" w:type="dxa"/>
            <w:right w:w="108" w:type="dxa"/>
          </w:tblCellMar>
        </w:tblPrEx>
        <w:trPr>
          <w:trHeight w:val="28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341155.72</w:t>
            </w:r>
          </w:p>
        </w:tc>
      </w:tr>
      <w:tr>
        <w:tblPrEx>
          <w:tblCellMar>
            <w:top w:w="0" w:type="dxa"/>
            <w:left w:w="108" w:type="dxa"/>
            <w:bottom w:w="0" w:type="dxa"/>
            <w:right w:w="108" w:type="dxa"/>
          </w:tblCellMar>
        </w:tblPrEx>
        <w:trPr>
          <w:trHeight w:val="43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1658.4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79271.52</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564.6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137.98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77903.51</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62.71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26371.44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模板未拆除</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处</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115.98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115.98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420.53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3452.55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支座橡胶裂缝封闭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47.94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2349.06</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261.83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30895.94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砼包裹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328.86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657.72</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更换支座（普通橡胶支座）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1431.95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28639</w:t>
            </w:r>
          </w:p>
        </w:tc>
      </w:tr>
      <w:tr>
        <w:tblPrEx>
          <w:tblCellMar>
            <w:top w:w="0" w:type="dxa"/>
            <w:left w:w="108" w:type="dxa"/>
            <w:bottom w:w="0" w:type="dxa"/>
            <w:right w:w="108" w:type="dxa"/>
          </w:tblCellMar>
        </w:tblPrEx>
        <w:trPr>
          <w:trHeight w:val="63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更换支座（四氟板橡胶支座）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259.43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5188.6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顶升支座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排</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2418.5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19348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垫石开裂、破损</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84.11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84.11</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钢板锈蚀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62.76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1192.44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拆除临时支座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231.96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2087.64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支座旁木模未拆除</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115.98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115.98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支座串动（顶升复位）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477.31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63482.23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7010.55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7010.55</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474367.27</w:t>
            </w:r>
          </w:p>
        </w:tc>
      </w:tr>
      <w:tr>
        <w:tblPrEx>
          <w:tblCellMar>
            <w:top w:w="0" w:type="dxa"/>
            <w:left w:w="108" w:type="dxa"/>
            <w:bottom w:w="0" w:type="dxa"/>
            <w:right w:w="108" w:type="dxa"/>
          </w:tblCellMar>
        </w:tblPrEx>
        <w:trPr>
          <w:trHeight w:val="54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宁上高速公路福安连接线（福宁高速公路主线湾坞互通立至福安江家渡）</w:t>
            </w:r>
          </w:p>
        </w:tc>
      </w:tr>
      <w:tr>
        <w:tblPrEx>
          <w:tblCellMar>
            <w:top w:w="0" w:type="dxa"/>
            <w:left w:w="108" w:type="dxa"/>
            <w:bottom w:w="0" w:type="dxa"/>
            <w:right w:w="108" w:type="dxa"/>
          </w:tblCellMar>
        </w:tblPrEx>
        <w:trPr>
          <w:trHeight w:val="31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color w:val="auto"/>
                <w:kern w:val="0"/>
                <w:sz w:val="16"/>
                <w:szCs w:val="16"/>
                <w:highlight w:val="none"/>
                <w:lang w:eastAsia="zh-CN"/>
              </w:rPr>
            </w:pPr>
            <w:r>
              <w:rPr>
                <w:rFonts w:hint="eastAsia" w:ascii="宋体" w:hAnsi="宋体" w:cs="宋体"/>
                <w:b/>
                <w:bCs/>
                <w:color w:val="auto"/>
                <w:kern w:val="0"/>
                <w:sz w:val="16"/>
                <w:szCs w:val="16"/>
                <w:highlight w:val="none"/>
              </w:rPr>
              <w:t>单价</w:t>
            </w:r>
          </w:p>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126210</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908.05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22701.25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103508.75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39620.85</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184.9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8843.77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138.08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7249.2</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11.834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4978.8</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563.79</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支座脱空加垫不锈钢板</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262.02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3406.26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钢板锈蚀</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62.93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62.93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防尘罩缺失</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289.05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1734.3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顶升支座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排</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4840</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更换支座（四氟板支座）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1188.92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1188.92</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其他</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3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栏杆、护栏（聚合物砂浆修复）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0.05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21.04</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主拱圈（聚合物砂浆修复）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6731.84</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2487.61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2487.61</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168318.46</w:t>
            </w:r>
          </w:p>
        </w:tc>
      </w:tr>
      <w:tr>
        <w:tblPrEx>
          <w:tblCellMar>
            <w:top w:w="0" w:type="dxa"/>
            <w:left w:w="108" w:type="dxa"/>
            <w:bottom w:w="0" w:type="dxa"/>
            <w:right w:w="108" w:type="dxa"/>
          </w:tblCellMar>
        </w:tblPrEx>
        <w:trPr>
          <w:trHeight w:val="270" w:hRule="atLeast"/>
        </w:trPr>
        <w:tc>
          <w:tcPr>
            <w:tcW w:w="8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屏南连接线（宁德至武夷山高速公路宁德市境）</w:t>
            </w:r>
          </w:p>
        </w:tc>
      </w:tr>
      <w:tr>
        <w:tblPrEx>
          <w:tblCellMar>
            <w:top w:w="0" w:type="dxa"/>
            <w:left w:w="108" w:type="dxa"/>
            <w:bottom w:w="0" w:type="dxa"/>
            <w:right w:w="108" w:type="dxa"/>
          </w:tblCellMar>
        </w:tblPrEx>
        <w:trPr>
          <w:trHeight w:val="270"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序号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分项编号</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工程量</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金额合计（元）</w:t>
            </w:r>
          </w:p>
        </w:tc>
      </w:tr>
      <w:tr>
        <w:tblPrEx>
          <w:tblCellMar>
            <w:top w:w="0" w:type="dxa"/>
            <w:left w:w="108" w:type="dxa"/>
            <w:bottom w:w="0" w:type="dxa"/>
            <w:right w:w="108" w:type="dxa"/>
          </w:tblCellMar>
        </w:tblPrEx>
        <w:trPr>
          <w:trHeight w:val="270"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合计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单价</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151450.2</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临时道路</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保通便道</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保通临时安全设施</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907.99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27239.7</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101010303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桥检车台班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台班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4140.35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124210.5</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桥梁涵洞工程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112276.07</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桥梁维护加固工程</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裂缝处治</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表面封闭</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242.77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47.83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11611.69</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104060102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压力注浆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180.875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138.07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24973.41</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梁体混凝土修补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104060201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27.874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11726.59</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墩台混凝土修补</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局部修复（聚合物砂浆）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5.5472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2333.87</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104060302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施工垃圾未清理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处</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528.01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528.01</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支座维修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顶升支座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排</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2419.73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9678.92</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104060409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更换支座（普通橡胶支座）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3546.59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17732.95</w:t>
            </w:r>
          </w:p>
        </w:tc>
      </w:tr>
      <w:tr>
        <w:tblPrEx>
          <w:tblCellMar>
            <w:top w:w="0" w:type="dxa"/>
            <w:left w:w="108" w:type="dxa"/>
            <w:bottom w:w="0" w:type="dxa"/>
            <w:right w:w="108" w:type="dxa"/>
          </w:tblCellMar>
        </w:tblPrEx>
        <w:trPr>
          <w:trHeight w:val="42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104060410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更换支座（四氟板支座）</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1720.96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8604.8</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伸缩缝维修</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104060501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更换橡胶条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236.26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23626</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其他</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3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104060601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栏杆、护栏（聚合物砂浆修复）</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3.47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420.7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1459.83</w:t>
            </w: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专项费用</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7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11002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安全生产费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项</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3953.3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3953.3</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小计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267679.57</w:t>
            </w:r>
          </w:p>
        </w:tc>
      </w:tr>
      <w:tr>
        <w:tblPrEx>
          <w:tblCellMar>
            <w:top w:w="0" w:type="dxa"/>
            <w:left w:w="108" w:type="dxa"/>
            <w:bottom w:w="0" w:type="dxa"/>
            <w:right w:w="108" w:type="dxa"/>
          </w:tblCellMar>
        </w:tblPrEx>
        <w:trPr>
          <w:trHeight w:val="270" w:hRule="atLeast"/>
        </w:trPr>
        <w:tc>
          <w:tcPr>
            <w:tcW w:w="51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 w:val="16"/>
                <w:szCs w:val="16"/>
                <w:highlight w:val="none"/>
              </w:rPr>
            </w:pPr>
            <w:r>
              <w:rPr>
                <w:rFonts w:hint="eastAsia" w:ascii="宋体" w:hAnsi="宋体" w:cs="宋体"/>
                <w:b/>
                <w:bCs/>
                <w:color w:val="auto"/>
                <w:kern w:val="0"/>
                <w:sz w:val="16"/>
                <w:szCs w:val="16"/>
                <w:highlight w:val="none"/>
              </w:rPr>
              <w:t>合计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kern w:val="0"/>
                <w:sz w:val="16"/>
                <w:szCs w:val="16"/>
                <w:highlight w:val="none"/>
              </w:rPr>
              <w:t>1663544</w:t>
            </w:r>
          </w:p>
        </w:tc>
      </w:tr>
    </w:tbl>
    <w:p>
      <w:pPr>
        <w:pStyle w:val="3"/>
        <w:spacing w:line="600" w:lineRule="exact"/>
        <w:rPr>
          <w:rFonts w:ascii="宋体" w:hAnsi="宋体" w:eastAsia="宋体" w:cs="宋体"/>
          <w:color w:val="auto"/>
          <w:sz w:val="32"/>
          <w:szCs w:val="32"/>
          <w:highlight w:val="none"/>
        </w:rPr>
      </w:pPr>
      <w:r>
        <w:rPr>
          <w:rFonts w:ascii="仿宋_GB2312" w:hAnsi="宋体" w:eastAsia="仿宋_GB2312"/>
          <w:color w:val="auto"/>
          <w:kern w:val="2"/>
          <w:sz w:val="32"/>
          <w:szCs w:val="32"/>
          <w:highlight w:val="none"/>
        </w:rPr>
        <w:br w:type="page"/>
      </w:r>
      <w:r>
        <w:rPr>
          <w:rFonts w:hint="eastAsia" w:ascii="宋体" w:hAnsi="宋体" w:eastAsia="宋体" w:cs="宋体"/>
          <w:b/>
          <w:bCs/>
          <w:color w:val="auto"/>
          <w:sz w:val="32"/>
          <w:szCs w:val="32"/>
          <w:highlight w:val="none"/>
        </w:rPr>
        <w:t>第六篇 合同主要条款、合同格式</w:t>
      </w:r>
      <w:bookmarkEnd w:id="21"/>
      <w:bookmarkEnd w:id="22"/>
    </w:p>
    <w:p>
      <w:pPr>
        <w:spacing w:line="600" w:lineRule="exact"/>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2022年宁德高速公路桥梁病害维修处治工程施工协作</w:t>
      </w:r>
    </w:p>
    <w:p>
      <w:pPr>
        <w:spacing w:line="600" w:lineRule="exact"/>
        <w:ind w:firstLine="643" w:firstLineChars="200"/>
        <w:jc w:val="center"/>
        <w:rPr>
          <w:rFonts w:ascii="宋体" w:hAnsi="宋体" w:cs="宋体"/>
          <w:b/>
          <w:bCs/>
          <w:color w:val="auto"/>
          <w:sz w:val="32"/>
          <w:szCs w:val="32"/>
          <w:highlight w:val="none"/>
        </w:rPr>
      </w:pPr>
      <w:r>
        <w:rPr>
          <w:rFonts w:hint="eastAsia" w:ascii="宋体" w:hAnsi="宋体" w:cs="宋体"/>
          <w:b/>
          <w:color w:val="auto"/>
          <w:sz w:val="32"/>
          <w:szCs w:val="32"/>
          <w:highlight w:val="none"/>
        </w:rPr>
        <w:t>合同协议书</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甲方：</w:t>
      </w:r>
      <w:r>
        <w:rPr>
          <w:rFonts w:hint="eastAsia" w:ascii="宋体" w:hAnsi="宋体" w:cs="宋体"/>
          <w:color w:val="auto"/>
          <w:sz w:val="28"/>
          <w:szCs w:val="28"/>
          <w:highlight w:val="none"/>
        </w:rPr>
        <w:t>宁德市高速公路养护工程有限公司     合同编号：</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第一条 工程概况</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（一）工程名称：</w:t>
      </w:r>
      <w:r>
        <w:rPr>
          <w:rFonts w:hint="eastAsia" w:asciiTheme="minorEastAsia" w:hAnsiTheme="minorEastAsia" w:eastAsiaTheme="minorEastAsia" w:cstheme="minorEastAsia"/>
          <w:color w:val="auto"/>
          <w:kern w:val="0"/>
          <w:sz w:val="28"/>
          <w:szCs w:val="28"/>
          <w:highlight w:val="none"/>
          <w:u w:val="single"/>
        </w:rPr>
        <w:t>2022年宁德高速公路桥梁病害维修处治工程</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（二）工程地点：</w:t>
      </w:r>
      <w:r>
        <w:rPr>
          <w:rFonts w:hint="eastAsia" w:ascii="宋体" w:hAnsi="宋体" w:cs="宋体"/>
          <w:color w:val="auto"/>
          <w:sz w:val="28"/>
          <w:szCs w:val="28"/>
          <w:highlight w:val="none"/>
        </w:rPr>
        <w:t>宁德高速公路沿线8个路段（沈海福宁段、宁武宁德段、京台古田段、甬莞福柘段、甬莞宁连段、溧宁福寿段、宁武高速屏南连接线、宁上高速福安连接线）</w:t>
      </w:r>
      <w:r>
        <w:rPr>
          <w:rFonts w:hint="eastAsia" w:ascii="宋体" w:hAnsi="宋体" w:cs="宋体"/>
          <w:color w:val="auto"/>
          <w:sz w:val="28"/>
          <w:szCs w:val="28"/>
          <w:highlight w:val="none"/>
        </w:rPr>
        <w:t>。</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宋体" w:hAnsi="宋体" w:cs="宋体"/>
          <w:color w:val="auto"/>
          <w:sz w:val="28"/>
          <w:szCs w:val="28"/>
          <w:highlight w:val="none"/>
        </w:rPr>
        <w:t>（三）作业内容：</w:t>
      </w:r>
      <w:r>
        <w:rPr>
          <w:rFonts w:hint="eastAsia" w:asciiTheme="minorEastAsia" w:hAnsiTheme="minorEastAsia" w:eastAsiaTheme="minorEastAsia" w:cstheme="minorEastAsia"/>
          <w:color w:val="auto"/>
          <w:kern w:val="0"/>
          <w:sz w:val="28"/>
          <w:szCs w:val="28"/>
          <w:highlight w:val="none"/>
        </w:rPr>
        <w:t xml:space="preserve">对宁德高速公路沿线8个路段（沈海福宁段、宁武宁德段、京台古田段、甬莞福柘段、甬莞宁连段、溧宁福寿段、宁武高速屏南连接线、宁上高速福安连接线）总计 </w:t>
      </w:r>
      <w:r>
        <w:rPr>
          <w:rFonts w:asciiTheme="minorEastAsia" w:hAnsiTheme="minorEastAsia" w:eastAsiaTheme="minorEastAsia" w:cstheme="minorEastAsia"/>
          <w:color w:val="auto"/>
          <w:kern w:val="0"/>
          <w:sz w:val="28"/>
          <w:szCs w:val="28"/>
          <w:highlight w:val="none"/>
        </w:rPr>
        <w:t>6</w:t>
      </w:r>
      <w:r>
        <w:rPr>
          <w:rFonts w:hint="eastAsia" w:asciiTheme="minorEastAsia" w:hAnsiTheme="minorEastAsia" w:eastAsiaTheme="minorEastAsia" w:cstheme="minorEastAsia"/>
          <w:color w:val="auto"/>
          <w:kern w:val="0"/>
          <w:sz w:val="28"/>
          <w:szCs w:val="28"/>
          <w:highlight w:val="none"/>
        </w:rPr>
        <w:t xml:space="preserve">5（双幅）座 </w:t>
      </w:r>
      <w:r>
        <w:rPr>
          <w:rFonts w:asciiTheme="minorEastAsia" w:hAnsiTheme="minorEastAsia" w:eastAsiaTheme="minorEastAsia" w:cstheme="minorEastAsia"/>
          <w:color w:val="auto"/>
          <w:kern w:val="0"/>
          <w:sz w:val="28"/>
          <w:szCs w:val="28"/>
          <w:highlight w:val="none"/>
        </w:rPr>
        <w:t xml:space="preserve">2 </w:t>
      </w:r>
      <w:r>
        <w:rPr>
          <w:rFonts w:hint="eastAsia" w:asciiTheme="minorEastAsia" w:hAnsiTheme="minorEastAsia" w:eastAsiaTheme="minorEastAsia" w:cstheme="minorEastAsia"/>
          <w:color w:val="auto"/>
          <w:kern w:val="0"/>
          <w:sz w:val="28"/>
          <w:szCs w:val="28"/>
          <w:highlight w:val="none"/>
        </w:rPr>
        <w:t>类桥存在梁体裂缝、露筋，支座脱空开裂等病害进行维修处治</w:t>
      </w:r>
      <w:r>
        <w:rPr>
          <w:rFonts w:hint="eastAsia" w:ascii="宋体" w:hAnsi="宋体" w:cs="宋体"/>
          <w:color w:val="auto"/>
          <w:sz w:val="28"/>
          <w:szCs w:val="28"/>
          <w:highlight w:val="none"/>
        </w:rPr>
        <w:t>，具体以合同工程量清单为准。</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第二条  合同组成</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下列文件应视为构成合同文件的组成部分：</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1、本协议书及各种合同附件（含评审期间和合同谈判过程中的澄清文件和补充资料）；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2、成交通知书；</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3、乙方提交的报价文件；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4、工程量清单计量规则；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5、技术规范；</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6、图纸；</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7、已标价工程量清单；</w:t>
      </w:r>
    </w:p>
    <w:p>
      <w:pPr>
        <w:pStyle w:val="2"/>
        <w:ind w:left="0" w:leftChars="0" w:firstLine="560" w:firstLineChars="200"/>
        <w:rPr>
          <w:rFonts w:cs="宋体"/>
          <w:bCs w:val="0"/>
          <w:color w:val="auto"/>
          <w:sz w:val="28"/>
          <w:szCs w:val="28"/>
          <w:highlight w:val="none"/>
        </w:rPr>
      </w:pPr>
      <w:r>
        <w:rPr>
          <w:rFonts w:hint="eastAsia" w:cs="宋体"/>
          <w:bCs w:val="0"/>
          <w:color w:val="auto"/>
          <w:sz w:val="28"/>
          <w:szCs w:val="28"/>
          <w:highlight w:val="none"/>
        </w:rPr>
        <w:t>8</w:t>
      </w:r>
      <w:r>
        <w:rPr>
          <w:rFonts w:cs="宋体"/>
          <w:bCs w:val="0"/>
          <w:color w:val="auto"/>
          <w:sz w:val="28"/>
          <w:szCs w:val="28"/>
          <w:highlight w:val="none"/>
        </w:rPr>
        <w:t>、</w:t>
      </w:r>
      <w:r>
        <w:rPr>
          <w:rFonts w:hint="eastAsia" w:cs="宋体"/>
          <w:bCs w:val="0"/>
          <w:color w:val="auto"/>
          <w:sz w:val="28"/>
          <w:szCs w:val="28"/>
          <w:highlight w:val="none"/>
        </w:rPr>
        <w:t>成交人有关人员、设备投入的承诺及成交人提交的经批准的施工组织设计。</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上述合同文件互相补充和解释。如果合同文件之间存在矛盾或不一致之处，以上述文件的排列顺序在先者为准。</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第三条  合同工期</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1、合同工期：</w:t>
      </w:r>
      <w:r>
        <w:rPr>
          <w:rFonts w:hint="eastAsia" w:ascii="宋体" w:hAnsi="宋体" w:cs="宋体"/>
          <w:color w:val="auto"/>
          <w:sz w:val="28"/>
          <w:szCs w:val="28"/>
          <w:highlight w:val="none"/>
          <w:u w:val="single"/>
        </w:rPr>
        <w:t>合同签订之日起</w:t>
      </w:r>
      <w:r>
        <w:rPr>
          <w:rFonts w:hint="eastAsia" w:ascii="宋体" w:hAnsi="宋体" w:cs="宋体"/>
          <w:color w:val="auto"/>
          <w:sz w:val="28"/>
          <w:szCs w:val="28"/>
          <w:highlight w:val="none"/>
          <w:u w:val="single"/>
          <w:lang w:eastAsia="zh-CN"/>
        </w:rPr>
        <w:t>165</w:t>
      </w:r>
      <w:r>
        <w:rPr>
          <w:rFonts w:hint="eastAsia" w:ascii="宋体" w:hAnsi="宋体" w:cs="宋体"/>
          <w:color w:val="auto"/>
          <w:sz w:val="28"/>
          <w:szCs w:val="28"/>
          <w:highlight w:val="none"/>
          <w:u w:val="single"/>
        </w:rPr>
        <w:t>个日历天内完成（其中福宁段25个日历天、宁武宁德段15个日历天、甬莞福柘段10个日历天、溧宁福寿段25个日历天、京台宁德段10个日历天、甬莞宁连段25个日历天、宁上高速公路福安连接线25个日历天、宁武高速屏南连接线30个日历天）</w:t>
      </w:r>
      <w:r>
        <w:rPr>
          <w:rFonts w:hint="eastAsia" w:ascii="宋体" w:hAnsi="宋体" w:cs="宋体"/>
          <w:color w:val="auto"/>
          <w:sz w:val="28"/>
          <w:szCs w:val="28"/>
          <w:highlight w:val="none"/>
        </w:rPr>
        <w:t>。质量缺陷责任期：</w:t>
      </w:r>
      <w:r>
        <w:rPr>
          <w:rFonts w:hint="eastAsia" w:ascii="宋体" w:hAnsi="宋体" w:cs="宋体"/>
          <w:color w:val="auto"/>
          <w:sz w:val="28"/>
          <w:szCs w:val="28"/>
          <w:highlight w:val="none"/>
          <w:u w:val="single"/>
        </w:rPr>
        <w:t>1年</w:t>
      </w:r>
      <w:r>
        <w:rPr>
          <w:rFonts w:hint="eastAsia" w:ascii="宋体" w:hAnsi="宋体" w:cs="宋体"/>
          <w:color w:val="auto"/>
          <w:sz w:val="28"/>
          <w:szCs w:val="28"/>
          <w:highlight w:val="none"/>
        </w:rPr>
        <w:t>。</w:t>
      </w:r>
    </w:p>
    <w:p>
      <w:pPr>
        <w:pStyle w:val="2"/>
        <w:ind w:left="0" w:leftChars="0" w:firstLine="560" w:firstLineChars="200"/>
        <w:rPr>
          <w:color w:val="auto"/>
          <w:highlight w:val="none"/>
        </w:rPr>
      </w:pPr>
      <w:r>
        <w:rPr>
          <w:rFonts w:hint="eastAsia"/>
          <w:color w:val="auto"/>
          <w:sz w:val="28"/>
          <w:szCs w:val="28"/>
          <w:highlight w:val="none"/>
        </w:rPr>
        <w:t>2、在履约过程中，遇到不可抗力或由于甲方原因造成的施工变更、返工、停工，工期顺延。</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第四条  合同价款及工程数量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（一）本工程暂定金额（不含税）为元（大写：元整），税费据实结算。详见附件。合同单价以最高控制价单价为基础，以中标价比最高控制价的下浮率同比下浮，详见附件。</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工程单价包括人工费、材料费、施工机具使用费、企业管理费、措施费、高速公路通行费、涉路工程施工审批、规费、利润、以及一定的风险费用等完成项目施工一切费用。</w:t>
      </w:r>
    </w:p>
    <w:p>
      <w:pPr>
        <w:numPr>
          <w:ilvl w:val="0"/>
          <w:numId w:val="7"/>
        </w:numPr>
        <w:spacing w:line="600" w:lineRule="exact"/>
        <w:ind w:firstLine="372" w:firstLineChars="133"/>
        <w:rPr>
          <w:rFonts w:ascii="宋体" w:hAnsi="宋体" w:cs="宋体"/>
          <w:color w:val="auto"/>
          <w:sz w:val="28"/>
          <w:szCs w:val="28"/>
          <w:highlight w:val="none"/>
        </w:rPr>
      </w:pPr>
      <w:r>
        <w:rPr>
          <w:rFonts w:hint="eastAsia" w:ascii="宋体" w:hAnsi="宋体" w:cs="宋体"/>
          <w:color w:val="auto"/>
          <w:sz w:val="28"/>
          <w:szCs w:val="28"/>
          <w:highlight w:val="none"/>
        </w:rPr>
        <w:t>工程数量：工程完工后，工程量经双方共同确认。</w:t>
      </w:r>
    </w:p>
    <w:p>
      <w:pPr>
        <w:spacing w:line="600" w:lineRule="exact"/>
        <w:ind w:firstLine="372" w:firstLineChars="133"/>
        <w:rPr>
          <w:color w:val="auto"/>
          <w:highlight w:val="none"/>
        </w:rPr>
      </w:pPr>
      <w:r>
        <w:rPr>
          <w:rFonts w:hint="eastAsia" w:ascii="宋体" w:hAnsi="宋体" w:cs="宋体"/>
          <w:color w:val="auto"/>
          <w:sz w:val="28"/>
          <w:szCs w:val="28"/>
          <w:highlight w:val="none"/>
        </w:rPr>
        <w:t>（三）工程变更：与合同清单细目相同的，按合同单价计；与合同清单细目相似的，参照合同单价计；合同清单细目中没有的，单价按照编制清单预算单位进行组价，并按清单预算与中选价同口径下浮计算，数量为现场确认数量。</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第五条  工程质量及验收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工程质量应满足《公路桥涵施工技术规范》、《公路桥梁加固施工技术规范》；封道布控应满足《中华人民共和国安全生产法》 “安全第一，预防为主”的方针，严格按《公路隧道施工技术规范》（</w:t>
      </w:r>
      <w:r>
        <w:rPr>
          <w:rFonts w:ascii="宋体" w:hAnsi="宋体" w:cs="宋体"/>
          <w:color w:val="auto"/>
          <w:sz w:val="28"/>
          <w:szCs w:val="28"/>
          <w:highlight w:val="none"/>
        </w:rPr>
        <w:t>JTG F60-2009</w:t>
      </w:r>
      <w:r>
        <w:rPr>
          <w:rFonts w:hint="eastAsia" w:ascii="宋体" w:hAnsi="宋体" w:cs="宋体"/>
          <w:color w:val="auto"/>
          <w:sz w:val="28"/>
          <w:szCs w:val="28"/>
          <w:highlight w:val="none"/>
        </w:rPr>
        <w:t>）和《公路 工程施工安全技术规程》（</w:t>
      </w:r>
      <w:r>
        <w:rPr>
          <w:rFonts w:ascii="宋体" w:hAnsi="宋体" w:cs="宋体"/>
          <w:color w:val="auto"/>
          <w:sz w:val="28"/>
          <w:szCs w:val="28"/>
          <w:highlight w:val="none"/>
        </w:rPr>
        <w:t>JTJ F90-2015</w:t>
      </w:r>
      <w:r>
        <w:rPr>
          <w:rFonts w:hint="eastAsia" w:ascii="宋体" w:hAnsi="宋体" w:cs="宋体"/>
          <w:color w:val="auto"/>
          <w:sz w:val="28"/>
          <w:szCs w:val="28"/>
          <w:highlight w:val="none"/>
        </w:rPr>
        <w:t>）等规范规程的有关要求执行。工程质量等级应达合格以上。</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第六条  安全施工、环境保护、文明施工与职业病防治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（三）乙方在整个施工期间要为其工作人员配备必要的安全防护和劳动保护用品，并为施工场地内自有人员办理人身保险</w:t>
      </w:r>
      <w:r>
        <w:rPr>
          <w:rFonts w:hint="eastAsia" w:asciiTheme="majorEastAsia" w:hAnsiTheme="majorEastAsia" w:eastAsiaTheme="majorEastAsia" w:cstheme="majorEastAsia"/>
          <w:color w:val="auto"/>
          <w:sz w:val="28"/>
          <w:szCs w:val="28"/>
          <w:highlight w:val="none"/>
        </w:rPr>
        <w:t>（可按团体险办理，个人意外保额在100万元及以上），保险费用由乙方承担，甲方不在另行支付。</w:t>
      </w:r>
      <w:r>
        <w:rPr>
          <w:rFonts w:hint="eastAsia" w:ascii="宋体" w:hAnsi="宋体" w:cs="宋体"/>
          <w:color w:val="auto"/>
          <w:sz w:val="28"/>
          <w:szCs w:val="28"/>
          <w:highlight w:val="none"/>
        </w:rPr>
        <w:t>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第七条 双方权利与义务</w:t>
      </w:r>
    </w:p>
    <w:p>
      <w:pPr>
        <w:numPr>
          <w:ilvl w:val="0"/>
          <w:numId w:val="8"/>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w:t>
      </w:r>
    </w:p>
    <w:p>
      <w:pPr>
        <w:numPr>
          <w:ilvl w:val="0"/>
          <w:numId w:val="9"/>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甲方对乙方施工工程进行质量监督，对不符合设计要求的，甲方有权责令乙方整改。</w:t>
      </w:r>
    </w:p>
    <w:p>
      <w:pPr>
        <w:numPr>
          <w:ilvl w:val="0"/>
          <w:numId w:val="9"/>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检查承包合同的执行情况，参与工程验收。</w:t>
      </w:r>
    </w:p>
    <w:p>
      <w:pPr>
        <w:numPr>
          <w:ilvl w:val="0"/>
          <w:numId w:val="9"/>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按照合同约定及时支付工程费用。</w:t>
      </w:r>
    </w:p>
    <w:p>
      <w:pPr>
        <w:numPr>
          <w:ilvl w:val="0"/>
          <w:numId w:val="8"/>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1、自行承担自有人员的吃、住、行及相关交通费用。</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5、负责涉路工程施工审批，施工过程应做好安全防范工作，乙方未按相关规范规定做好安全防护造成安全事故由乙方承担责任。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8、在工程验收前，向甲方提交工程实施情况报告及交竣工资料。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9、及时支付劳务人员工资和材料款，并接受甲方监督。</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第八条  工程价款的计量与支付</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（一）计量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工程完工后，实体工程量经双方共同确认形成工程现场确认单。</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（二）支付</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1、乙方账户信息:</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—户 名：；</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—帐 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—纳税人识别号：；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2、经有关部门验收合格并通过交工验收后，乙方根据工程结算总金额开具增值税专用发票（税费据实结算），支付至结算金额的80%，待甲方收到乙方提供的付</w:t>
      </w:r>
      <w:r>
        <w:rPr>
          <w:rFonts w:hint="eastAsia"/>
          <w:color w:val="auto"/>
          <w:sz w:val="28"/>
          <w:szCs w:val="28"/>
          <w:highlight w:val="none"/>
        </w:rPr>
        <w:t>清农民工工资发放清单或凭证后，甲方支付乙方结算总金额的17%，</w:t>
      </w:r>
      <w:r>
        <w:rPr>
          <w:rFonts w:hint="eastAsia" w:ascii="宋体" w:hAnsi="宋体" w:cs="宋体"/>
          <w:color w:val="auto"/>
          <w:sz w:val="28"/>
          <w:szCs w:val="28"/>
          <w:highlight w:val="none"/>
        </w:rPr>
        <w:t>余款待缺陷责任期满且经验收合格后1个月内予以支付。</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第九条 违约责任与争议解决方式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（一）合同签订后，非法定或约定事由的出现，任何一方不得擅自解除合同。</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第十条</w:t>
      </w:r>
      <w:r>
        <w:rPr>
          <w:rFonts w:hint="eastAsia" w:ascii="宋体" w:hAnsi="宋体" w:cs="宋体"/>
          <w:b/>
          <w:bCs/>
          <w:color w:val="auto"/>
          <w:sz w:val="28"/>
          <w:szCs w:val="28"/>
          <w:highlight w:val="none"/>
        </w:rPr>
        <w:t>不可抗力</w:t>
      </w:r>
    </w:p>
    <w:p>
      <w:pPr>
        <w:spacing w:line="600" w:lineRule="exact"/>
        <w:ind w:firstLine="493"/>
        <w:rPr>
          <w:rFonts w:ascii="宋体" w:hAnsi="宋体" w:cs="宋体"/>
          <w:color w:val="auto"/>
          <w:sz w:val="28"/>
          <w:szCs w:val="28"/>
          <w:highlight w:val="none"/>
        </w:rPr>
      </w:pPr>
      <w:r>
        <w:rPr>
          <w:rFonts w:hint="eastAsia" w:ascii="宋体" w:hAnsi="宋体" w:cs="宋体"/>
          <w:color w:val="auto"/>
          <w:sz w:val="28"/>
          <w:szCs w:val="28"/>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若一方违约在先，不得以此后发生不抗力为由免除其违约责任。</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第十一条 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（一）本合同未尽事宜，由双方届时商签补充协议，与本合同具有同等法律效力。</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（二）本合同经双方代表人签字及加盖公章后生效，至工程款付清后终止。</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（三）本合同共陆份，甲乙双方各执叁份。具有同等法律效力。</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甲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单位名称：宁德市高速公路养护工程有限公司</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
              <w:ind w:left="0" w:leftChars="0"/>
              <w:rPr>
                <w:rFonts w:cs="宋体"/>
                <w:color w:val="auto"/>
                <w:sz w:val="28"/>
                <w:szCs w:val="28"/>
                <w:highlight w:val="none"/>
              </w:rPr>
            </w:pPr>
            <w:r>
              <w:rPr>
                <w:rFonts w:hint="eastAsia" w:cs="宋体"/>
                <w:color w:val="auto"/>
                <w:sz w:val="28"/>
                <w:szCs w:val="28"/>
                <w:highlight w:val="none"/>
              </w:rPr>
              <w:t>手机：</w:t>
            </w:r>
          </w:p>
          <w:p>
            <w:pPr>
              <w:pStyle w:val="2"/>
              <w:ind w:left="0" w:leftChars="0"/>
              <w:rPr>
                <w:rFonts w:cs="宋体"/>
                <w:color w:val="auto"/>
                <w:sz w:val="28"/>
                <w:szCs w:val="28"/>
                <w:highlight w:val="none"/>
              </w:rPr>
            </w:pPr>
            <w:r>
              <w:rPr>
                <w:rFonts w:hint="eastAsia" w:cs="宋体"/>
                <w:color w:val="auto"/>
                <w:sz w:val="28"/>
                <w:szCs w:val="28"/>
                <w:highlight w:val="none"/>
              </w:rPr>
              <w:t>电话：</w:t>
            </w:r>
          </w:p>
          <w:p>
            <w:pPr>
              <w:pStyle w:val="2"/>
              <w:ind w:left="0" w:leftChars="0"/>
              <w:rPr>
                <w:color w:val="auto"/>
                <w:highlight w:val="none"/>
              </w:rPr>
            </w:pPr>
            <w:r>
              <w:rPr>
                <w:rFonts w:hint="eastAsia" w:cs="宋体"/>
                <w:color w:val="auto"/>
                <w:sz w:val="28"/>
                <w:szCs w:val="28"/>
                <w:highlight w:val="none"/>
              </w:rPr>
              <w:t>企业邮箱：</w:t>
            </w:r>
          </w:p>
        </w:tc>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乙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
              <w:ind w:left="0" w:leftChars="0"/>
              <w:rPr>
                <w:rFonts w:cs="宋体"/>
                <w:color w:val="auto"/>
                <w:sz w:val="28"/>
                <w:szCs w:val="28"/>
                <w:highlight w:val="none"/>
              </w:rPr>
            </w:pPr>
            <w:r>
              <w:rPr>
                <w:rFonts w:hint="eastAsia" w:cs="宋体"/>
                <w:color w:val="auto"/>
                <w:sz w:val="28"/>
                <w:szCs w:val="28"/>
                <w:highlight w:val="none"/>
              </w:rPr>
              <w:t>手机：</w:t>
            </w:r>
          </w:p>
          <w:p>
            <w:pPr>
              <w:pStyle w:val="2"/>
              <w:ind w:left="0" w:leftChars="0"/>
              <w:rPr>
                <w:rFonts w:cs="宋体"/>
                <w:color w:val="auto"/>
                <w:sz w:val="28"/>
                <w:szCs w:val="28"/>
                <w:highlight w:val="none"/>
              </w:rPr>
            </w:pPr>
            <w:r>
              <w:rPr>
                <w:rFonts w:hint="eastAsia" w:cs="宋体"/>
                <w:color w:val="auto"/>
                <w:sz w:val="28"/>
                <w:szCs w:val="28"/>
                <w:highlight w:val="none"/>
              </w:rPr>
              <w:t>电话：</w:t>
            </w:r>
          </w:p>
          <w:p>
            <w:pPr>
              <w:pStyle w:val="2"/>
              <w:ind w:left="0" w:leftChars="0"/>
              <w:rPr>
                <w:color w:val="auto"/>
                <w:highlight w:val="none"/>
              </w:rPr>
            </w:pPr>
            <w:r>
              <w:rPr>
                <w:rFonts w:hint="eastAsia" w:cs="宋体"/>
                <w:color w:val="auto"/>
                <w:sz w:val="28"/>
                <w:szCs w:val="28"/>
                <w:highlight w:val="none"/>
              </w:rPr>
              <w:t>企业邮箱：</w:t>
            </w:r>
          </w:p>
        </w:tc>
      </w:tr>
      <w:bookmarkEnd w:id="23"/>
      <w:bookmarkEnd w:id="24"/>
    </w:tbl>
    <w:p>
      <w:pPr>
        <w:pStyle w:val="89"/>
        <w:ind w:firstLine="0" w:firstLineChars="0"/>
        <w:rPr>
          <w:rFonts w:ascii="仿宋_GB2312" w:eastAsia="仿宋_GB2312"/>
          <w:color w:val="auto"/>
          <w:sz w:val="32"/>
          <w:szCs w:val="32"/>
          <w:highlight w:val="none"/>
        </w:rPr>
      </w:pPr>
      <w:bookmarkStart w:id="25" w:name="_Toc122257625"/>
      <w:bookmarkStart w:id="26" w:name="_Toc515961893"/>
      <w:bookmarkStart w:id="27" w:name="_Toc122750651"/>
      <w:bookmarkStart w:id="28" w:name="_Toc515983539"/>
      <w:r>
        <w:rPr>
          <w:rFonts w:hint="eastAsia" w:ascii="仿宋_GB2312" w:eastAsia="仿宋_GB2312"/>
          <w:color w:val="auto"/>
          <w:sz w:val="32"/>
          <w:szCs w:val="32"/>
          <w:highlight w:val="none"/>
        </w:rPr>
        <w:t>签订日期：      年  月   日</w:t>
      </w:r>
    </w:p>
    <w:p>
      <w:pPr>
        <w:pStyle w:val="89"/>
        <w:ind w:left="360" w:firstLine="0" w:firstLineChars="0"/>
        <w:rPr>
          <w:rFonts w:ascii="仿宋_GB2312" w:eastAsia="仿宋_GB2312"/>
          <w:color w:val="auto"/>
          <w:sz w:val="32"/>
          <w:szCs w:val="32"/>
          <w:highlight w:val="none"/>
        </w:rPr>
      </w:pPr>
    </w:p>
    <w:p>
      <w:pPr>
        <w:pStyle w:val="89"/>
        <w:ind w:left="360" w:firstLine="0" w:firstLineChars="0"/>
        <w:rPr>
          <w:rFonts w:ascii="仿宋_GB2312" w:eastAsia="仿宋_GB2312"/>
          <w:color w:val="auto"/>
          <w:sz w:val="32"/>
          <w:szCs w:val="32"/>
          <w:highlight w:val="none"/>
        </w:rPr>
      </w:pPr>
    </w:p>
    <w:p>
      <w:pPr>
        <w:pStyle w:val="89"/>
        <w:ind w:left="360" w:firstLine="0" w:firstLineChars="0"/>
        <w:rPr>
          <w:rFonts w:ascii="仿宋_GB2312" w:eastAsia="仿宋_GB2312"/>
          <w:color w:val="auto"/>
          <w:sz w:val="32"/>
          <w:szCs w:val="32"/>
          <w:highlight w:val="none"/>
        </w:rPr>
      </w:pPr>
    </w:p>
    <w:p>
      <w:pPr>
        <w:pStyle w:val="89"/>
        <w:ind w:left="360" w:firstLine="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附件：</w:t>
      </w:r>
    </w:p>
    <w:tbl>
      <w:tblPr>
        <w:tblStyle w:val="27"/>
        <w:tblpPr w:leftFromText="180" w:rightFromText="180" w:vertAnchor="text" w:horzAnchor="margin" w:tblpXSpec="center" w:tblpY="549"/>
        <w:tblW w:w="0" w:type="auto"/>
        <w:tblInd w:w="0" w:type="dxa"/>
        <w:tblLayout w:type="fixed"/>
        <w:tblCellMar>
          <w:top w:w="0" w:type="dxa"/>
          <w:left w:w="108" w:type="dxa"/>
          <w:bottom w:w="0" w:type="dxa"/>
          <w:right w:w="108" w:type="dxa"/>
        </w:tblCellMar>
      </w:tblPr>
      <w:tblGrid>
        <w:gridCol w:w="618"/>
        <w:gridCol w:w="3340"/>
        <w:gridCol w:w="860"/>
        <w:gridCol w:w="1120"/>
        <w:gridCol w:w="1162"/>
        <w:gridCol w:w="1380"/>
        <w:gridCol w:w="1120"/>
      </w:tblGrid>
      <w:tr>
        <w:tblPrEx>
          <w:tblCellMar>
            <w:top w:w="0" w:type="dxa"/>
            <w:left w:w="108" w:type="dxa"/>
            <w:bottom w:w="0" w:type="dxa"/>
            <w:right w:w="108" w:type="dxa"/>
          </w:tblCellMar>
        </w:tblPrEx>
        <w:trPr>
          <w:trHeight w:val="825" w:hRule="atLeast"/>
        </w:trPr>
        <w:tc>
          <w:tcPr>
            <w:tcW w:w="9600" w:type="dxa"/>
            <w:gridSpan w:val="7"/>
            <w:tcBorders>
              <w:top w:val="single" w:color="auto" w:sz="8" w:space="0"/>
              <w:left w:val="single" w:color="auto" w:sz="8" w:space="0"/>
              <w:bottom w:val="single" w:color="auto" w:sz="8" w:space="0"/>
              <w:right w:val="single" w:color="000000" w:sz="8" w:space="0"/>
            </w:tcBorders>
            <w:shd w:val="clear" w:color="auto" w:fill="FFFFFF"/>
            <w:noWrap/>
            <w:vAlign w:val="center"/>
          </w:tcPr>
          <w:p>
            <w:pPr>
              <w:widowControl/>
              <w:jc w:val="center"/>
              <w:rPr>
                <w:rFonts w:ascii="宋体" w:hAnsi="宋体" w:cs="Arial"/>
                <w:b/>
                <w:bCs/>
                <w:color w:val="auto"/>
                <w:kern w:val="0"/>
                <w:sz w:val="44"/>
                <w:szCs w:val="44"/>
                <w:highlight w:val="none"/>
              </w:rPr>
            </w:pPr>
            <w:r>
              <w:rPr>
                <w:rFonts w:hint="eastAsia" w:ascii="宋体" w:hAnsi="宋体" w:cs="Arial"/>
                <w:b/>
                <w:bCs/>
                <w:color w:val="auto"/>
                <w:kern w:val="0"/>
                <w:sz w:val="44"/>
                <w:szCs w:val="44"/>
                <w:highlight w:val="none"/>
              </w:rPr>
              <w:t>工程量清单</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序号</w:t>
            </w:r>
          </w:p>
        </w:tc>
        <w:tc>
          <w:tcPr>
            <w:tcW w:w="33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项目</w:t>
            </w: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单位</w:t>
            </w:r>
          </w:p>
        </w:tc>
        <w:tc>
          <w:tcPr>
            <w:tcW w:w="11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数量</w:t>
            </w:r>
          </w:p>
        </w:tc>
        <w:tc>
          <w:tcPr>
            <w:tcW w:w="116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单价</w:t>
            </w:r>
          </w:p>
        </w:tc>
        <w:tc>
          <w:tcPr>
            <w:tcW w:w="138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金额</w:t>
            </w:r>
          </w:p>
        </w:tc>
        <w:tc>
          <w:tcPr>
            <w:tcW w:w="1120"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备注</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660" w:hRule="atLeast"/>
        </w:trPr>
        <w:tc>
          <w:tcPr>
            <w:tcW w:w="618" w:type="dxa"/>
            <w:tcBorders>
              <w:top w:val="nil"/>
              <w:left w:val="single" w:color="auto" w:sz="8" w:space="0"/>
              <w:bottom w:val="single" w:color="auto" w:sz="8" w:space="0"/>
              <w:right w:val="single" w:color="auto" w:sz="4" w:space="0"/>
            </w:tcBorders>
            <w:shd w:val="clear" w:color="auto" w:fill="FFFFFF"/>
            <w:noWrap/>
            <w:vAlign w:val="center"/>
          </w:tcPr>
          <w:p>
            <w:pPr>
              <w:widowControl/>
              <w:jc w:val="center"/>
              <w:rPr>
                <w:rFonts w:ascii="宋体" w:hAnsi="宋体" w:cs="Arial"/>
                <w:color w:val="auto"/>
                <w:kern w:val="0"/>
                <w:sz w:val="24"/>
                <w:highlight w:val="none"/>
              </w:rPr>
            </w:pPr>
            <w:r>
              <w:rPr>
                <w:rFonts w:hint="eastAsia" w:ascii="宋体" w:hAnsi="宋体" w:cs="Arial"/>
                <w:color w:val="auto"/>
                <w:kern w:val="0"/>
                <w:sz w:val="24"/>
                <w:highlight w:val="none"/>
              </w:rPr>
              <w:t>　</w:t>
            </w:r>
          </w:p>
        </w:tc>
        <w:tc>
          <w:tcPr>
            <w:tcW w:w="3340" w:type="dxa"/>
            <w:tcBorders>
              <w:top w:val="nil"/>
              <w:left w:val="nil"/>
              <w:bottom w:val="single" w:color="auto" w:sz="8" w:space="0"/>
              <w:right w:val="single" w:color="auto" w:sz="4" w:space="0"/>
            </w:tcBorders>
            <w:noWrap/>
            <w:vAlign w:val="center"/>
          </w:tcPr>
          <w:p>
            <w:pPr>
              <w:widowControl/>
              <w:jc w:val="center"/>
              <w:rPr>
                <w:rFonts w:ascii="宋体" w:hAnsi="宋体" w:cs="Arial"/>
                <w:b/>
                <w:bCs/>
                <w:color w:val="auto"/>
                <w:kern w:val="0"/>
                <w:sz w:val="24"/>
                <w:highlight w:val="none"/>
              </w:rPr>
            </w:pPr>
            <w:r>
              <w:rPr>
                <w:rFonts w:hint="eastAsia" w:ascii="宋体" w:hAnsi="宋体" w:cs="Arial"/>
                <w:b/>
                <w:bCs/>
                <w:color w:val="auto"/>
                <w:kern w:val="0"/>
                <w:sz w:val="24"/>
                <w:highlight w:val="none"/>
              </w:rPr>
              <w:t>合   价</w:t>
            </w:r>
          </w:p>
        </w:tc>
        <w:tc>
          <w:tcPr>
            <w:tcW w:w="860"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120"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162"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380" w:type="dxa"/>
            <w:tcBorders>
              <w:top w:val="nil"/>
              <w:left w:val="nil"/>
              <w:bottom w:val="single" w:color="auto" w:sz="8" w:space="0"/>
              <w:right w:val="single" w:color="auto" w:sz="4" w:space="0"/>
            </w:tcBorders>
            <w:noWrap/>
            <w:vAlign w:val="center"/>
          </w:tcPr>
          <w:p>
            <w:pPr>
              <w:widowControl/>
              <w:jc w:val="right"/>
              <w:rPr>
                <w:rFonts w:ascii="宋体" w:hAnsi="宋体" w:cs="Arial"/>
                <w:color w:val="auto"/>
                <w:kern w:val="0"/>
                <w:sz w:val="24"/>
                <w:highlight w:val="none"/>
              </w:rPr>
            </w:pPr>
          </w:p>
        </w:tc>
        <w:tc>
          <w:tcPr>
            <w:tcW w:w="1120" w:type="dxa"/>
            <w:tcBorders>
              <w:top w:val="nil"/>
              <w:left w:val="nil"/>
              <w:bottom w:val="single" w:color="auto" w:sz="8" w:space="0"/>
              <w:right w:val="single" w:color="auto" w:sz="8" w:space="0"/>
            </w:tcBorders>
            <w:noWrap/>
            <w:vAlign w:val="bottom"/>
          </w:tcPr>
          <w:p>
            <w:pPr>
              <w:widowControl/>
              <w:jc w:val="left"/>
              <w:rPr>
                <w:rFonts w:ascii="宋体" w:hAnsi="宋体" w:cs="Arial"/>
                <w:color w:val="auto"/>
                <w:kern w:val="0"/>
                <w:sz w:val="20"/>
                <w:highlight w:val="none"/>
              </w:rPr>
            </w:pPr>
            <w:r>
              <w:rPr>
                <w:rFonts w:ascii="宋体" w:hAnsi="宋体" w:cs="Arial"/>
                <w:color w:val="auto"/>
                <w:kern w:val="0"/>
                <w:sz w:val="20"/>
                <w:highlight w:val="none"/>
              </w:rPr>
              <w:t>　</w:t>
            </w:r>
          </w:p>
        </w:tc>
      </w:tr>
    </w:tbl>
    <w:p>
      <w:pPr>
        <w:pStyle w:val="89"/>
        <w:ind w:left="360" w:firstLine="0" w:firstLineChars="0"/>
        <w:rPr>
          <w:rFonts w:ascii="仿宋_GB2312" w:eastAsia="仿宋_GB2312"/>
          <w:color w:val="auto"/>
          <w:sz w:val="32"/>
          <w:szCs w:val="32"/>
          <w:highlight w:val="none"/>
        </w:rPr>
      </w:pPr>
    </w:p>
    <w:p>
      <w:pPr>
        <w:pStyle w:val="89"/>
        <w:ind w:firstLine="0" w:firstLineChars="0"/>
        <w:rPr>
          <w:rFonts w:ascii="仿宋_GB2312" w:eastAsia="仿宋_GB2312"/>
          <w:color w:val="auto"/>
          <w:sz w:val="32"/>
          <w:szCs w:val="32"/>
          <w:highlight w:val="none"/>
        </w:rPr>
      </w:pPr>
    </w:p>
    <w:p>
      <w:pPr>
        <w:pStyle w:val="89"/>
        <w:ind w:firstLine="0" w:firstLineChars="0"/>
        <w:rPr>
          <w:rFonts w:ascii="仿宋_GB2312" w:eastAsia="仿宋_GB2312"/>
          <w:color w:val="auto"/>
          <w:sz w:val="32"/>
          <w:szCs w:val="32"/>
          <w:highlight w:val="none"/>
        </w:rPr>
      </w:pPr>
    </w:p>
    <w:p>
      <w:pPr>
        <w:pStyle w:val="89"/>
        <w:ind w:firstLine="0" w:firstLineChars="0"/>
        <w:rPr>
          <w:rFonts w:ascii="仿宋_GB2312" w:eastAsia="仿宋_GB2312"/>
          <w:color w:val="auto"/>
          <w:sz w:val="32"/>
          <w:szCs w:val="32"/>
          <w:highlight w:val="none"/>
        </w:rPr>
        <w:sectPr>
          <w:pgSz w:w="11906" w:h="16838"/>
          <w:pgMar w:top="1701" w:right="1474" w:bottom="1134" w:left="1588" w:header="851" w:footer="992" w:gutter="0"/>
          <w:pgNumType w:fmt="numberInDash"/>
          <w:cols w:space="720" w:num="1"/>
          <w:titlePg/>
          <w:docGrid w:type="lines" w:linePitch="312" w:charSpace="0"/>
        </w:sectPr>
      </w:pPr>
    </w:p>
    <w:p>
      <w:pPr>
        <w:pStyle w:val="89"/>
        <w:ind w:firstLine="0" w:firstLineChars="0"/>
        <w:rPr>
          <w:rFonts w:ascii="仿宋_GB2312" w:eastAsia="仿宋_GB2312"/>
          <w:color w:val="auto"/>
          <w:sz w:val="32"/>
          <w:szCs w:val="32"/>
          <w:highlight w:val="none"/>
        </w:rPr>
      </w:pPr>
    </w:p>
    <w:p>
      <w:pPr>
        <w:pStyle w:val="89"/>
        <w:ind w:firstLine="0" w:firstLineChars="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第七篇  </w:t>
      </w:r>
      <w:bookmarkEnd w:id="25"/>
      <w:r>
        <w:rPr>
          <w:rFonts w:hint="eastAsia" w:ascii="黑体" w:hAnsi="黑体" w:eastAsia="黑体" w:cs="黑体"/>
          <w:color w:val="auto"/>
          <w:sz w:val="32"/>
          <w:szCs w:val="32"/>
          <w:highlight w:val="none"/>
        </w:rPr>
        <w:t>报价文件格式</w:t>
      </w:r>
      <w:bookmarkEnd w:id="26"/>
      <w:bookmarkEnd w:id="27"/>
      <w:bookmarkEnd w:id="28"/>
    </w:p>
    <w:p>
      <w:pPr>
        <w:spacing w:line="600" w:lineRule="exact"/>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r>
        <w:rPr>
          <w:rFonts w:hint="eastAsia" w:ascii="宋体" w:hAnsi="宋体"/>
          <w:b/>
          <w:color w:val="auto"/>
          <w:sz w:val="32"/>
          <w:szCs w:val="32"/>
          <w:highlight w:val="none"/>
        </w:rPr>
        <w:t>第合同包</w:t>
      </w: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工程</w:t>
      </w: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报价文件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ind w:left="2554" w:hanging="2554" w:hangingChars="795"/>
        <w:jc w:val="left"/>
        <w:rPr>
          <w:rFonts w:ascii="宋体" w:hAnsi="宋体"/>
          <w:b/>
          <w:color w:val="auto"/>
          <w:sz w:val="32"/>
          <w:szCs w:val="32"/>
          <w:highlight w:val="none"/>
        </w:rPr>
      </w:pP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报价人（盖章）：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日  期： </w:t>
      </w:r>
    </w:p>
    <w:p>
      <w:pPr>
        <w:spacing w:line="600" w:lineRule="exact"/>
        <w:rPr>
          <w:rFonts w:ascii="宋体" w:hAnsi="宋体"/>
          <w:b/>
          <w:color w:val="auto"/>
          <w:sz w:val="32"/>
          <w:szCs w:val="32"/>
          <w:highlight w:val="none"/>
        </w:rPr>
      </w:pPr>
    </w:p>
    <w:p>
      <w:pPr>
        <w:pStyle w:val="24"/>
        <w:spacing w:line="600" w:lineRule="exact"/>
        <w:rPr>
          <w:rFonts w:ascii="宋体" w:hAnsi="宋体"/>
          <w:color w:val="auto"/>
          <w:sz w:val="36"/>
          <w:szCs w:val="36"/>
          <w:highlight w:val="none"/>
        </w:rPr>
      </w:pPr>
      <w:r>
        <w:rPr>
          <w:rFonts w:ascii="宋体" w:hAnsi="宋体"/>
          <w:bCs w:val="0"/>
          <w:color w:val="auto"/>
          <w:highlight w:val="none"/>
        </w:rPr>
        <w:br w:type="page"/>
      </w:r>
      <w:r>
        <w:rPr>
          <w:rFonts w:hint="eastAsia" w:ascii="宋体" w:hAnsi="宋体"/>
          <w:color w:val="auto"/>
          <w:sz w:val="36"/>
          <w:szCs w:val="36"/>
          <w:highlight w:val="none"/>
        </w:rPr>
        <w:t>目  录</w:t>
      </w:r>
    </w:p>
    <w:p>
      <w:pPr>
        <w:pStyle w:val="24"/>
        <w:spacing w:line="600" w:lineRule="exact"/>
        <w:rPr>
          <w:rStyle w:val="33"/>
          <w:rFonts w:ascii="宋体" w:hAnsi="宋体"/>
          <w:color w:val="auto"/>
          <w:sz w:val="21"/>
          <w:highlight w:val="none"/>
          <w:u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二、报价表</w:t>
      </w:r>
    </w:p>
    <w:p>
      <w:pPr>
        <w:pStyle w:val="2"/>
        <w:ind w:left="0" w:leftChars="0"/>
        <w:rPr>
          <w:rFonts w:ascii="仿宋_GB2312" w:hAnsi="Times New Roman" w:eastAsia="仿宋_GB2312"/>
          <w:bCs w:val="0"/>
          <w:color w:val="auto"/>
          <w:sz w:val="32"/>
          <w:szCs w:val="32"/>
          <w:highlight w:val="none"/>
        </w:rPr>
      </w:pPr>
      <w:r>
        <w:rPr>
          <w:rFonts w:hint="eastAsia" w:ascii="仿宋_GB2312" w:hAnsi="Times New Roman" w:eastAsia="仿宋_GB2312"/>
          <w:bCs w:val="0"/>
          <w:color w:val="auto"/>
          <w:sz w:val="32"/>
          <w:szCs w:val="32"/>
          <w:highlight w:val="none"/>
        </w:rPr>
        <w:t>三、无拖欠农民工工资承诺书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四、报价人法定代表人身份证明书（格式）</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五、报价人法定代表人授权委托书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六、资信文件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b/>
          <w:color w:val="auto"/>
          <w:sz w:val="32"/>
          <w:szCs w:val="32"/>
          <w:highlight w:val="none"/>
        </w:rPr>
      </w:pPr>
      <w:bookmarkStart w:id="29" w:name="_Toc508286687"/>
      <w:bookmarkStart w:id="30" w:name="_Toc122750652"/>
      <w:bookmarkStart w:id="31" w:name="_Toc409439698"/>
      <w:bookmarkStart w:id="32" w:name="_Toc515961894"/>
    </w:p>
    <w:p>
      <w:pPr>
        <w:spacing w:line="600" w:lineRule="exact"/>
        <w:jc w:val="center"/>
        <w:rPr>
          <w:b/>
          <w:color w:val="auto"/>
          <w:sz w:val="32"/>
          <w:szCs w:val="32"/>
          <w:highlight w:val="none"/>
        </w:rPr>
      </w:pPr>
      <w:r>
        <w:rPr>
          <w:rFonts w:hint="eastAsia"/>
          <w:b/>
          <w:color w:val="auto"/>
          <w:sz w:val="32"/>
          <w:szCs w:val="32"/>
          <w:highlight w:val="none"/>
        </w:rPr>
        <w:t>一、报价函</w:t>
      </w:r>
      <w:bookmarkEnd w:id="29"/>
      <w:bookmarkEnd w:id="30"/>
      <w:bookmarkEnd w:id="31"/>
      <w:bookmarkEnd w:id="32"/>
    </w:p>
    <w:p>
      <w:pPr>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r>
        <w:rPr>
          <w:rFonts w:hint="eastAsia" w:ascii="仿宋_GB2312" w:hAnsi="宋体" w:eastAsia="仿宋_GB2312"/>
          <w:color w:val="auto"/>
          <w:sz w:val="28"/>
          <w:szCs w:val="28"/>
          <w:highlight w:val="none"/>
        </w:rPr>
        <w:t>：</w:t>
      </w:r>
    </w:p>
    <w:p>
      <w:pPr>
        <w:numPr>
          <w:ilvl w:val="0"/>
          <w:numId w:val="10"/>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我方已仔细研究2022年宁德高速公路桥梁病害维修处治工程（项目名称）采购文件（包括答疑纪要、补充通知等修改文件），并能够正确理解和接受其全部内容。我们完全理解并同意放弃对这方面有不明及误解的权利。我方将接受并遵守采购文件所规定的各项条款。我方愿以人民币￥        元（大写         元）的报价，并按上述材料规格型号、工程量清单和技术文件、技术规范和要求、施工图设计文件、工程量清单的条件要求实施和完成承包工程，修补工程中的任何缺陷。</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2、我方承诺再采购文件规定的报价有效期内不撤销报价文件。</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日期开始施工，并保证在规定工期内完成施工任务并移交整个工程。</w:t>
      </w:r>
      <w:r>
        <w:rPr>
          <w:rFonts w:hint="eastAsia" w:ascii="仿宋_GB2312" w:eastAsia="仿宋_GB2312"/>
          <w:color w:val="auto"/>
          <w:sz w:val="28"/>
          <w:szCs w:val="28"/>
          <w:highlight w:val="none"/>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89"/>
        <w:numPr>
          <w:ilvl w:val="0"/>
          <w:numId w:val="11"/>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保证工程质量达到；</w:t>
      </w:r>
    </w:p>
    <w:p>
      <w:pPr>
        <w:pStyle w:val="89"/>
        <w:numPr>
          <w:ilvl w:val="0"/>
          <w:numId w:val="11"/>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89"/>
        <w:numPr>
          <w:ilvl w:val="0"/>
          <w:numId w:val="11"/>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pStyle w:val="89"/>
        <w:numPr>
          <w:ilvl w:val="0"/>
          <w:numId w:val="11"/>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rPr>
        <w:t>（其他补充说明）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p>
    <w:p>
      <w:pPr>
        <w:spacing w:line="600" w:lineRule="exact"/>
        <w:ind w:firstLine="560" w:firstLineChars="200"/>
        <w:rPr>
          <w:rFonts w:ascii="宋体" w:hAnsi="宋体" w:eastAsia="仿宋_GB2312"/>
          <w:b/>
          <w:color w:val="auto"/>
          <w:sz w:val="32"/>
          <w:szCs w:val="32"/>
          <w:highlight w:val="none"/>
        </w:rPr>
        <w:sectPr>
          <w:pgSz w:w="11906" w:h="16838"/>
          <w:pgMar w:top="1701" w:right="1474" w:bottom="1134" w:left="1588" w:header="851" w:footer="992" w:gutter="0"/>
          <w:pgNumType w:fmt="numberInDash"/>
          <w:cols w:space="720" w:num="1"/>
          <w:titlePg/>
          <w:docGrid w:type="lines" w:linePitch="312" w:charSpace="0"/>
        </w:sectPr>
      </w:pPr>
      <w:r>
        <w:rPr>
          <w:rFonts w:hint="eastAsia" w:ascii="仿宋_GB2312" w:eastAsia="仿宋_GB2312"/>
          <w:color w:val="auto"/>
          <w:sz w:val="28"/>
          <w:szCs w:val="28"/>
          <w:highlight w:val="none"/>
        </w:rPr>
        <w:t>日期：2022年月日</w:t>
      </w:r>
    </w:p>
    <w:p>
      <w:pPr>
        <w:pStyle w:val="4"/>
        <w:spacing w:line="600" w:lineRule="exact"/>
        <w:rPr>
          <w:color w:val="auto"/>
          <w:sz w:val="32"/>
          <w:szCs w:val="36"/>
          <w:highlight w:val="none"/>
        </w:rPr>
      </w:pPr>
      <w:bookmarkStart w:id="33" w:name="_Toc122750653"/>
      <w:bookmarkStart w:id="34" w:name="_Toc534883410"/>
      <w:bookmarkStart w:id="35" w:name="_Toc534893628"/>
      <w:bookmarkStart w:id="36" w:name="_Toc508286688"/>
      <w:bookmarkStart w:id="37" w:name="_Toc534883368"/>
      <w:bookmarkStart w:id="38" w:name="_Toc409439699"/>
      <w:bookmarkStart w:id="39" w:name="_Toc122257631"/>
      <w:bookmarkStart w:id="40" w:name="_Toc409439702"/>
      <w:bookmarkStart w:id="41" w:name="_Toc508286689"/>
      <w:bookmarkStart w:id="42" w:name="_Toc409439703"/>
      <w:bookmarkStart w:id="43" w:name="_Toc122750660"/>
      <w:bookmarkStart w:id="44" w:name="_Toc515961897"/>
      <w:bookmarkStart w:id="45" w:name="_Toc122257638"/>
      <w:bookmarkStart w:id="46" w:name="_Toc122750661"/>
      <w:bookmarkStart w:id="47" w:name="_Toc508286690"/>
      <w:bookmarkStart w:id="48" w:name="_Toc122257637"/>
      <w:r>
        <w:rPr>
          <w:rFonts w:hint="eastAsia"/>
          <w:color w:val="auto"/>
          <w:sz w:val="32"/>
          <w:szCs w:val="36"/>
          <w:highlight w:val="none"/>
        </w:rPr>
        <w:t>二、报 价 表</w:t>
      </w:r>
      <w:bookmarkEnd w:id="33"/>
      <w:bookmarkEnd w:id="34"/>
      <w:bookmarkEnd w:id="35"/>
      <w:bookmarkEnd w:id="36"/>
      <w:bookmarkEnd w:id="37"/>
      <w:bookmarkEnd w:id="38"/>
      <w:bookmarkEnd w:id="39"/>
    </w:p>
    <w:p>
      <w:pPr>
        <w:spacing w:line="600" w:lineRule="exact"/>
        <w:ind w:firstLine="240" w:firstLineChars="100"/>
        <w:rPr>
          <w:rFonts w:ascii="仿宋_GB2312" w:eastAsia="仿宋_GB2312"/>
          <w:b/>
          <w:color w:val="auto"/>
          <w:sz w:val="32"/>
          <w:szCs w:val="32"/>
          <w:highlight w:val="none"/>
        </w:rPr>
      </w:pPr>
      <w:bookmarkStart w:id="49" w:name="_Toc122257633"/>
      <w:bookmarkStart w:id="50" w:name="_Toc409439700"/>
      <w:bookmarkStart w:id="51" w:name="_Toc122750655"/>
      <w:r>
        <w:rPr>
          <w:rFonts w:hint="eastAsia" w:ascii="仿宋_GB2312" w:eastAsia="仿宋_GB2312"/>
          <w:bCs/>
          <w:color w:val="auto"/>
          <w:sz w:val="24"/>
          <w:szCs w:val="24"/>
          <w:highlight w:val="none"/>
        </w:rPr>
        <w:t>控制价：1663544元</w:t>
      </w:r>
    </w:p>
    <w:tbl>
      <w:tblPr>
        <w:tblStyle w:val="27"/>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ascii="仿宋_GB2312" w:eastAsia="仿宋_GB2312"/>
                <w:color w:val="auto"/>
                <w:sz w:val="28"/>
                <w:szCs w:val="28"/>
                <w:highlight w:val="none"/>
              </w:rPr>
            </w:pPr>
            <w:r>
              <w:rPr>
                <w:rFonts w:hint="eastAsia" w:ascii="仿宋_GB2312" w:eastAsia="仿宋_GB2312"/>
                <w:b/>
                <w:color w:val="auto"/>
                <w:sz w:val="28"/>
                <w:szCs w:val="28"/>
                <w:highlight w:val="none"/>
              </w:rPr>
              <w:t>报价</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2022年宁德高速公路桥梁病害维修处治工程</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auto"/>
                <w:kern w:val="0"/>
                <w:sz w:val="28"/>
                <w:szCs w:val="28"/>
                <w:highlight w:val="none"/>
              </w:rPr>
            </w:pPr>
          </w:p>
        </w:tc>
      </w:tr>
    </w:tbl>
    <w:p>
      <w:pPr>
        <w:spacing w:line="600" w:lineRule="exact"/>
        <w:ind w:firstLine="321" w:firstLineChars="100"/>
        <w:rPr>
          <w:rFonts w:ascii="仿宋_GB2312" w:eastAsia="仿宋_GB2312"/>
          <w:b/>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24"/>
          <w:szCs w:val="24"/>
          <w:highlight w:val="none"/>
        </w:rPr>
        <w:t>备注：1、本单位在本开启一览表中填入的数据与报价函数据保持一致。若有不一致之处，本单位应当在开启会上当场提出，并以报价函数据为准更正。否则，以废标论处。</w:t>
      </w:r>
    </w:p>
    <w:p>
      <w:pPr>
        <w:numPr>
          <w:ilvl w:val="0"/>
          <w:numId w:val="12"/>
        </w:numPr>
        <w:spacing w:line="600" w:lineRule="exact"/>
        <w:ind w:firstLine="480" w:firstLineChars="200"/>
        <w:rPr>
          <w:color w:val="auto"/>
          <w:highlight w:val="none"/>
        </w:rPr>
      </w:pPr>
      <w:r>
        <w:rPr>
          <w:rFonts w:hint="eastAsia" w:ascii="仿宋_GB2312" w:eastAsia="仿宋_GB2312"/>
          <w:color w:val="auto"/>
          <w:sz w:val="24"/>
          <w:szCs w:val="24"/>
          <w:highlight w:val="none"/>
        </w:rPr>
        <w:t>工程总价含人工费、材料费、施工机具使用费、企业管理费、措施费、安全布控费、高速公路通行费、涉路工程施工审批、规费、利润以及一定的风险费用等完成项目施工一切费用，不含税金，税金据实结算。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bookmarkEnd w:id="40"/>
    <w:bookmarkEnd w:id="41"/>
    <w:bookmarkEnd w:id="42"/>
    <w:bookmarkEnd w:id="43"/>
    <w:bookmarkEnd w:id="44"/>
    <w:bookmarkEnd w:id="45"/>
    <w:bookmarkEnd w:id="46"/>
    <w:bookmarkEnd w:id="47"/>
    <w:bookmarkEnd w:id="48"/>
    <w:bookmarkEnd w:id="49"/>
    <w:bookmarkEnd w:id="50"/>
    <w:bookmarkEnd w:id="51"/>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报价人：（盖章）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法定代表人或委托授权人：（签字）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p>
    <w:p>
      <w:pPr>
        <w:spacing w:line="600" w:lineRule="exact"/>
        <w:rPr>
          <w:rFonts w:ascii="仿宋_GB2312" w:eastAsia="仿宋_GB2312"/>
          <w:color w:val="auto"/>
          <w:sz w:val="32"/>
          <w:szCs w:val="32"/>
          <w:highlight w:val="none"/>
        </w:rPr>
      </w:pPr>
      <w:r>
        <w:rPr>
          <w:rFonts w:hint="eastAsia" w:ascii="仿宋_GB2312" w:eastAsia="仿宋_GB2312"/>
          <w:color w:val="auto"/>
          <w:sz w:val="28"/>
          <w:szCs w:val="28"/>
          <w:highlight w:val="none"/>
        </w:rPr>
        <w:t>日期： 2022年   月   日</w:t>
      </w:r>
    </w:p>
    <w:p>
      <w:pP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三、无拖欠农民工工资承诺书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89"/>
        <w:numPr>
          <w:ilvl w:val="0"/>
          <w:numId w:val="13"/>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89"/>
        <w:numPr>
          <w:ilvl w:val="0"/>
          <w:numId w:val="13"/>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2"/>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2"/>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2"/>
        <w:ind w:firstLine="2240" w:firstLineChars="800"/>
        <w:rPr>
          <w:rFonts w:ascii="仿宋_GB2312" w:eastAsia="仿宋_GB2312"/>
          <w:b/>
          <w:color w:val="auto"/>
          <w:sz w:val="32"/>
          <w:szCs w:val="32"/>
          <w:highlight w:val="none"/>
        </w:rPr>
      </w:pPr>
      <w:r>
        <w:rPr>
          <w:rFonts w:hint="eastAsia" w:ascii="仿宋_GB2312" w:eastAsia="仿宋_GB2312"/>
          <w:color w:val="auto"/>
          <w:sz w:val="28"/>
          <w:szCs w:val="28"/>
          <w:highlight w:val="none"/>
        </w:rPr>
        <w:t>日期： 2022年   月   日</w:t>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四、报价单位法定代表人身份证明书（格式）</w:t>
      </w:r>
    </w:p>
    <w:p>
      <w:pPr>
        <w:spacing w:line="600" w:lineRule="exact"/>
        <w:jc w:val="center"/>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项目名称：</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ascii="仿宋_GB2312" w:eastAsia="仿宋_GB2312"/>
          <w:color w:val="auto"/>
          <w:sz w:val="32"/>
          <w:szCs w:val="32"/>
          <w:highlight w:val="none"/>
        </w:rPr>
      </w:pPr>
      <w:r>
        <w:rPr>
          <w:rFonts w:hint="eastAsia" w:ascii="仿宋_GB2312" w:eastAsia="仿宋_GB2312"/>
          <w:color w:val="auto"/>
          <w:sz w:val="32"/>
          <w:szCs w:val="32"/>
          <w:highlight w:val="none"/>
        </w:rPr>
        <w:t>报价人：（供应商全称及盖公章）</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202</w:t>
      </w:r>
      <w:r>
        <w:rPr>
          <w:rFonts w:hint="eastAsia" w:ascii="仿宋_GB2312" w:eastAsia="仿宋_GB2312"/>
          <w:color w:val="auto"/>
          <w:sz w:val="32"/>
          <w:szCs w:val="32"/>
          <w:highlight w:val="none"/>
        </w:rPr>
        <w:t>2年月日</w:t>
      </w:r>
    </w:p>
    <w:p>
      <w:pPr>
        <w:spacing w:line="600" w:lineRule="exact"/>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sectPr>
          <w:pgSz w:w="11906" w:h="16838"/>
          <w:pgMar w:top="1701" w:right="1474" w:bottom="1134" w:left="1588" w:header="851" w:footer="992" w:gutter="0"/>
          <w:pgNumType w:fmt="numberInDash"/>
          <w:cols w:space="720" w:num="1"/>
          <w:titlePg/>
          <w:docGrid w:type="lines" w:linePitch="312" w:charSpace="0"/>
        </w:sectPr>
      </w:pPr>
    </w:p>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附：报价单位法定代表人身份证复印件并盖章</w:t>
      </w: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sectPr>
          <w:pgSz w:w="11906" w:h="16838"/>
          <w:pgMar w:top="1701" w:right="1474" w:bottom="1134" w:left="1588" w:header="851" w:footer="992" w:gutter="0"/>
          <w:pgNumType w:fmt="numberInDash"/>
          <w:cols w:space="720" w:num="1"/>
          <w:titlePg/>
          <w:docGrid w:type="lines" w:linePitch="312" w:charSpace="0"/>
        </w:sectPr>
      </w:pPr>
      <w:bookmarkStart w:id="52" w:name="_Toc534883371"/>
      <w:bookmarkStart w:id="53" w:name="_Toc534893630"/>
      <w:bookmarkStart w:id="54" w:name="_Toc534883413"/>
    </w:p>
    <w:p>
      <w:pPr>
        <w:pStyle w:val="4"/>
        <w:spacing w:line="600" w:lineRule="exact"/>
        <w:rPr>
          <w:rFonts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五、报价单位法定代表人授权委托书</w:t>
      </w:r>
      <w:bookmarkEnd w:id="52"/>
      <w:bookmarkEnd w:id="53"/>
      <w:bookmarkEnd w:id="54"/>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（报价人名称）</w:t>
      </w:r>
      <w:r>
        <w:rPr>
          <w:rFonts w:hint="eastAsia" w:ascii="仿宋_GB2312" w:eastAsia="仿宋_GB2312"/>
          <w:color w:val="auto"/>
          <w:sz w:val="28"/>
          <w:szCs w:val="28"/>
          <w:highlight w:val="none"/>
        </w:rPr>
        <w:t>是中华人民共和国合法企业，法定地址。</w:t>
      </w:r>
      <w:r>
        <w:rPr>
          <w:rFonts w:hint="eastAsia" w:ascii="仿宋_GB2312" w:eastAsia="仿宋_GB2312"/>
          <w:color w:val="auto"/>
          <w:sz w:val="28"/>
          <w:szCs w:val="28"/>
          <w:highlight w:val="none"/>
          <w:u w:val="single"/>
        </w:rPr>
        <w:t>（报价人法定代表人姓名）</w:t>
      </w:r>
      <w:r>
        <w:rPr>
          <w:rFonts w:hint="eastAsia" w:ascii="仿宋_GB2312" w:eastAsia="仿宋_GB2312"/>
          <w:color w:val="auto"/>
          <w:sz w:val="28"/>
          <w:szCs w:val="28"/>
          <w:highlight w:val="none"/>
        </w:rPr>
        <w:t>特授权</w:t>
      </w:r>
      <w:r>
        <w:rPr>
          <w:rFonts w:hint="eastAsia" w:ascii="仿宋_GB2312" w:eastAsia="仿宋_GB2312"/>
          <w:color w:val="auto"/>
          <w:sz w:val="28"/>
          <w:szCs w:val="28"/>
          <w:highlight w:val="none"/>
          <w:u w:val="single"/>
        </w:rPr>
        <w:t>（被授权人姓名）</w:t>
      </w:r>
      <w:r>
        <w:rPr>
          <w:rFonts w:hint="eastAsia" w:ascii="仿宋_GB2312" w:eastAsia="仿宋_GB2312"/>
          <w:color w:val="auto"/>
          <w:sz w:val="28"/>
          <w:szCs w:val="28"/>
          <w:highlight w:val="none"/>
        </w:rPr>
        <w:t>代表我单位全权办理对上述项目的报价、签约等具体工作，并签署全部有关的文件、协议及合同。</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rPr>
        <w:t>我单位对被授权人的签名负全部责任。</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报价单位法定代表人：（签字并盖公章）</w:t>
      </w:r>
    </w:p>
    <w:p>
      <w:pPr>
        <w:spacing w:line="600" w:lineRule="exact"/>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被授权人：（签字）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附：报价单位被授权人身份证复印件</w:t>
      </w:r>
      <w:bookmarkStart w:id="55" w:name="_Toc122257640"/>
      <w:bookmarkStart w:id="56" w:name="_Toc122750662"/>
      <w:bookmarkStart w:id="57" w:name="_Toc409439704"/>
      <w:bookmarkStart w:id="58" w:name="_Toc508286691"/>
      <w:r>
        <w:rPr>
          <w:rFonts w:hint="eastAsia" w:ascii="仿宋_GB2312" w:eastAsia="仿宋_GB2312"/>
          <w:color w:val="auto"/>
          <w:sz w:val="32"/>
          <w:szCs w:val="32"/>
          <w:highlight w:val="none"/>
        </w:rPr>
        <w:t>并盖章</w:t>
      </w:r>
    </w:p>
    <w:p>
      <w:pPr>
        <w:pStyle w:val="4"/>
        <w:spacing w:line="600" w:lineRule="exact"/>
        <w:rPr>
          <w:rFonts w:ascii="仿宋_GB2312" w:hAnsi="Calibri" w:eastAsia="仿宋_GB2312"/>
          <w:color w:val="auto"/>
          <w:kern w:val="2"/>
          <w:sz w:val="32"/>
          <w:highlight w:val="none"/>
        </w:rPr>
      </w:pPr>
      <w:bookmarkStart w:id="59" w:name="_Toc534883414"/>
      <w:bookmarkStart w:id="60" w:name="_Toc534883372"/>
      <w:bookmarkStart w:id="61" w:name="_Toc534893631"/>
      <w:r>
        <w:rPr>
          <w:rFonts w:hint="eastAsia" w:ascii="仿宋_GB2312" w:hAnsi="Calibri" w:eastAsia="仿宋_GB2312"/>
          <w:color w:val="auto"/>
          <w:kern w:val="2"/>
          <w:sz w:val="32"/>
          <w:highlight w:val="none"/>
        </w:rPr>
        <w:t>六、</w:t>
      </w:r>
      <w:bookmarkEnd w:id="55"/>
      <w:bookmarkEnd w:id="56"/>
      <w:r>
        <w:rPr>
          <w:rFonts w:hint="eastAsia" w:ascii="仿宋_GB2312" w:hAnsi="Calibri" w:eastAsia="仿宋_GB2312"/>
          <w:color w:val="auto"/>
          <w:kern w:val="2"/>
          <w:sz w:val="32"/>
          <w:highlight w:val="none"/>
        </w:rPr>
        <w:t>资信文件</w:t>
      </w:r>
      <w:bookmarkEnd w:id="57"/>
      <w:bookmarkEnd w:id="58"/>
      <w:bookmarkEnd w:id="59"/>
      <w:bookmarkEnd w:id="60"/>
      <w:bookmarkEnd w:id="61"/>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报价单位需提供以下资质文件：</w:t>
      </w:r>
    </w:p>
    <w:p>
      <w:pPr>
        <w:numPr>
          <w:ilvl w:val="0"/>
          <w:numId w:val="14"/>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有效年检的企业法人营业执照（彩印）。</w:t>
      </w:r>
    </w:p>
    <w:p>
      <w:pPr>
        <w:numPr>
          <w:ilvl w:val="0"/>
          <w:numId w:val="14"/>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企业资质证明（彩印）。</w:t>
      </w:r>
    </w:p>
    <w:p>
      <w:pPr>
        <w:spacing w:line="600" w:lineRule="exact"/>
        <w:rPr>
          <w:color w:val="auto"/>
          <w:highlight w:val="none"/>
        </w:rPr>
      </w:pPr>
      <w:r>
        <w:rPr>
          <w:rFonts w:hint="eastAsia" w:ascii="仿宋_GB2312" w:eastAsia="仿宋_GB2312"/>
          <w:color w:val="auto"/>
          <w:sz w:val="32"/>
          <w:szCs w:val="32"/>
          <w:highlight w:val="none"/>
        </w:rPr>
        <w:t>3、业绩证明。</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60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rPr>
          <w:rFonts w:ascii="仿宋_GB2312" w:eastAsia="仿宋_GB2312"/>
          <w:color w:val="auto"/>
          <w:sz w:val="32"/>
          <w:szCs w:val="32"/>
          <w:highlight w:val="none"/>
        </w:rPr>
      </w:pPr>
      <w:r>
        <w:rPr>
          <w:rFonts w:ascii="仿宋_GB2312" w:eastAsia="仿宋_GB2312"/>
          <w:color w:val="auto"/>
          <w:sz w:val="32"/>
          <w:szCs w:val="32"/>
          <w:highlight w:val="none"/>
        </w:rPr>
        <w:br w:type="page"/>
      </w:r>
    </w:p>
    <w:p>
      <w:pPr>
        <w:pStyle w:val="3"/>
        <w:spacing w:line="600" w:lineRule="exact"/>
        <w:rPr>
          <w:rFonts w:ascii="仿宋_GB2312" w:eastAsia="仿宋_GB2312"/>
          <w:color w:val="auto"/>
          <w:kern w:val="2"/>
          <w:sz w:val="32"/>
          <w:szCs w:val="32"/>
          <w:highlight w:val="none"/>
        </w:rPr>
      </w:pPr>
      <w:r>
        <w:rPr>
          <w:rFonts w:hint="eastAsia" w:ascii="宋体" w:hAnsi="宋体" w:eastAsia="宋体" w:cs="宋体"/>
          <w:b/>
          <w:bCs/>
          <w:color w:val="auto"/>
          <w:sz w:val="32"/>
          <w:szCs w:val="32"/>
          <w:highlight w:val="none"/>
        </w:rPr>
        <w:t>第八篇  疫情防控制度</w:t>
      </w:r>
    </w:p>
    <w:p>
      <w:pPr>
        <w:pStyle w:val="2"/>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为严格落实国家、省市、地方关于疫情防控工作要求，同时积极推进落实各项招标采购工作，保障疫情防控期间的招标采购活动有序开展，特制订本方案：</w:t>
      </w:r>
    </w:p>
    <w:p>
      <w:pPr>
        <w:pStyle w:val="2"/>
        <w:numPr>
          <w:ilvl w:val="0"/>
          <w:numId w:val="15"/>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参与递交竞价文件人员应佩戴口罩且人员间隔1米以上，防疫健康码应为“绿码”，行程码不显示14天内有中高风险地区游居情况，参与递交竞价文件人员有序测量体温，体温正常的，进行登记。</w:t>
      </w:r>
    </w:p>
    <w:p>
      <w:pPr>
        <w:pStyle w:val="2"/>
        <w:numPr>
          <w:ilvl w:val="0"/>
          <w:numId w:val="15"/>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参与递交询价文件人员需出示本人身份证、法人代表证明或法人授权委托书。</w:t>
      </w:r>
    </w:p>
    <w:p>
      <w:pPr>
        <w:pStyle w:val="2"/>
        <w:numPr>
          <w:ilvl w:val="0"/>
          <w:numId w:val="15"/>
        </w:numPr>
        <w:ind w:left="0" w:leftChars="0" w:firstLine="640" w:firstLineChars="200"/>
        <w:rPr>
          <w:rFonts w:ascii="仿宋_GB2312" w:eastAsia="仿宋_GB2312"/>
          <w:color w:val="auto"/>
          <w:sz w:val="32"/>
          <w:szCs w:val="32"/>
          <w:highlight w:val="none"/>
        </w:rPr>
      </w:pPr>
      <w:r>
        <w:rPr>
          <w:rFonts w:hint="eastAsia" w:ascii="仿宋_GB2312" w:hAnsi="Times New Roman" w:eastAsia="仿宋_GB2312"/>
          <w:color w:val="auto"/>
          <w:sz w:val="32"/>
          <w:szCs w:val="32"/>
          <w:highlight w:val="none"/>
        </w:rPr>
        <w:t>本次采购，竞价人应有序的递交竞价文件，</w:t>
      </w:r>
      <w:r>
        <w:rPr>
          <w:rFonts w:hint="eastAsia" w:ascii="仿宋_GB2312" w:eastAsia="仿宋_GB2312"/>
          <w:color w:val="auto"/>
          <w:sz w:val="32"/>
          <w:szCs w:val="32"/>
          <w:highlight w:val="none"/>
        </w:rPr>
        <w:t>接收</w:t>
      </w:r>
      <w:r>
        <w:rPr>
          <w:rFonts w:hint="eastAsia" w:ascii="仿宋_GB2312" w:hAnsi="Times New Roman" w:eastAsia="仿宋_GB2312"/>
          <w:color w:val="auto"/>
          <w:sz w:val="32"/>
          <w:szCs w:val="32"/>
          <w:highlight w:val="none"/>
        </w:rPr>
        <w:t>地点设立：宁德高速速公路宁德管理分公司门口，截止到竞价文件规定的接收时间，未递交竞价文件的报价单位视为放弃</w:t>
      </w:r>
      <w:r>
        <w:rPr>
          <w:rFonts w:hint="eastAsia" w:ascii="仿宋_GB2312" w:eastAsia="仿宋_GB2312"/>
          <w:color w:val="auto"/>
          <w:sz w:val="32"/>
          <w:szCs w:val="32"/>
          <w:highlight w:val="none"/>
        </w:rPr>
        <w:t>；</w:t>
      </w:r>
      <w:r>
        <w:rPr>
          <w:rFonts w:hint="eastAsia" w:ascii="仿宋_GB2312" w:hAnsi="Times New Roman" w:eastAsia="仿宋_GB2312"/>
          <w:color w:val="auto"/>
          <w:sz w:val="32"/>
          <w:szCs w:val="32"/>
          <w:highlight w:val="none"/>
        </w:rPr>
        <w:t>开标地点设立：</w:t>
      </w:r>
      <w:r>
        <w:rPr>
          <w:rFonts w:hint="eastAsia" w:ascii="仿宋_GB2312" w:eastAsia="仿宋_GB2312"/>
          <w:bCs w:val="0"/>
          <w:color w:val="auto"/>
          <w:sz w:val="32"/>
          <w:szCs w:val="32"/>
          <w:highlight w:val="none"/>
        </w:rPr>
        <w:t>宁德市后岗开发区贵岐路1号经开公司1楼会议室，鉴于疫情防控要求，报价人均在门口等待，不得进入公司园区逗留，报价文件由评审小组检查完密封情况后带去园区评审。</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b/>
          <w:color w:val="auto"/>
          <w:sz w:val="30"/>
          <w:szCs w:val="30"/>
          <w:highlight w:val="none"/>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TSong-Light">
    <w:altName w:val="Times New Roman"/>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- 18 -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y="1"/>
      <w:jc w:val="center"/>
      <w:rPr>
        <w:rStyle w:val="31"/>
      </w:rPr>
    </w:pPr>
  </w:p>
  <w:p>
    <w:pPr>
      <w:pStyle w:val="19"/>
      <w:framePr w:wrap="around" w:vAnchor="text" w:hAnchor="margin" w:xAlign="center" w:y="1"/>
      <w:rPr>
        <w:rStyle w:val="31"/>
      </w:rPr>
    </w:pPr>
    <w:r>
      <w:rPr>
        <w:rStyle w:val="31"/>
        <w:rFonts w:hint="eastAsia"/>
      </w:rPr>
      <w:t>-</w:t>
    </w:r>
  </w:p>
  <w:p>
    <w:pPr>
      <w:pStyle w:val="19"/>
      <w:jc w:val="center"/>
      <w:rPr>
        <w:rFonts w:hint="default" w:eastAsia="宋体"/>
        <w:lang w:val="en-US" w:eastAsia="zh-CN"/>
      </w:rPr>
    </w:pP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9EB31119"/>
    <w:multiLevelType w:val="singleLevel"/>
    <w:tmpl w:val="9EB31119"/>
    <w:lvl w:ilvl="0" w:tentative="0">
      <w:start w:val="1"/>
      <w:numFmt w:val="decimal"/>
      <w:suff w:val="nothing"/>
      <w:lvlText w:val="%1、"/>
      <w:lvlJc w:val="left"/>
    </w:lvl>
  </w:abstractNum>
  <w:abstractNum w:abstractNumId="3">
    <w:nsid w:val="D217730B"/>
    <w:multiLevelType w:val="singleLevel"/>
    <w:tmpl w:val="D217730B"/>
    <w:lvl w:ilvl="0" w:tentative="0">
      <w:start w:val="3"/>
      <w:numFmt w:val="decimal"/>
      <w:suff w:val="nothing"/>
      <w:lvlText w:val="%1、"/>
      <w:lvlJc w:val="left"/>
    </w:lvl>
  </w:abstractNum>
  <w:abstractNum w:abstractNumId="4">
    <w:nsid w:val="DF7D8DBB"/>
    <w:multiLevelType w:val="singleLevel"/>
    <w:tmpl w:val="DF7D8DBB"/>
    <w:lvl w:ilvl="0" w:tentative="0">
      <w:start w:val="1"/>
      <w:numFmt w:val="chineseCounting"/>
      <w:suff w:val="space"/>
      <w:lvlText w:val="第%1篇"/>
      <w:lvlJc w:val="left"/>
      <w:pPr>
        <w:ind w:left="2730"/>
      </w:pPr>
      <w:rPr>
        <w:rFonts w:hint="eastAsia"/>
      </w:rPr>
    </w:lvl>
  </w:abstractNum>
  <w:abstractNum w:abstractNumId="5">
    <w:nsid w:val="E26823E5"/>
    <w:multiLevelType w:val="singleLevel"/>
    <w:tmpl w:val="E26823E5"/>
    <w:lvl w:ilvl="0" w:tentative="0">
      <w:start w:val="2"/>
      <w:numFmt w:val="chineseCounting"/>
      <w:suff w:val="nothing"/>
      <w:lvlText w:val="（%1）"/>
      <w:lvlJc w:val="left"/>
      <w:rPr>
        <w:rFonts w:hint="eastAsia"/>
      </w:rPr>
    </w:lvl>
  </w:abstractNum>
  <w:abstractNum w:abstractNumId="6">
    <w:nsid w:val="085CF666"/>
    <w:multiLevelType w:val="singleLevel"/>
    <w:tmpl w:val="085CF666"/>
    <w:lvl w:ilvl="0" w:tentative="0">
      <w:start w:val="1"/>
      <w:numFmt w:val="decimal"/>
      <w:suff w:val="nothing"/>
      <w:lvlText w:val="%1、"/>
      <w:lvlJc w:val="left"/>
    </w:lvl>
  </w:abstractNum>
  <w:abstractNum w:abstractNumId="7">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CBC0AD7"/>
    <w:multiLevelType w:val="singleLevel"/>
    <w:tmpl w:val="0CBC0AD7"/>
    <w:lvl w:ilvl="0" w:tentative="0">
      <w:start w:val="2"/>
      <w:numFmt w:val="decimal"/>
      <w:suff w:val="nothing"/>
      <w:lvlText w:val="%1、"/>
      <w:lvlJc w:val="left"/>
    </w:lvl>
  </w:abstractNum>
  <w:abstractNum w:abstractNumId="9">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B47AF8"/>
    <w:multiLevelType w:val="singleLevel"/>
    <w:tmpl w:val="40B47AF8"/>
    <w:lvl w:ilvl="0" w:tentative="0">
      <w:start w:val="1"/>
      <w:numFmt w:val="decimal"/>
      <w:lvlText w:val="%1."/>
      <w:lvlJc w:val="left"/>
      <w:pPr>
        <w:tabs>
          <w:tab w:val="left" w:pos="312"/>
        </w:tabs>
      </w:pPr>
    </w:lvl>
  </w:abstractNum>
  <w:abstractNum w:abstractNumId="12">
    <w:nsid w:val="49DA05A5"/>
    <w:multiLevelType w:val="singleLevel"/>
    <w:tmpl w:val="49DA05A5"/>
    <w:lvl w:ilvl="0" w:tentative="0">
      <w:start w:val="1"/>
      <w:numFmt w:val="decimal"/>
      <w:suff w:val="nothing"/>
      <w:lvlText w:val="（%1）"/>
      <w:lvlJc w:val="left"/>
    </w:lvl>
  </w:abstractNum>
  <w:abstractNum w:abstractNumId="13">
    <w:nsid w:val="6ECE7469"/>
    <w:multiLevelType w:val="singleLevel"/>
    <w:tmpl w:val="6ECE7469"/>
    <w:lvl w:ilvl="0" w:tentative="0">
      <w:start w:val="3"/>
      <w:numFmt w:val="decimal"/>
      <w:suff w:val="nothing"/>
      <w:lvlText w:val="%1、"/>
      <w:lvlJc w:val="left"/>
    </w:lvl>
  </w:abstractNum>
  <w:abstractNum w:abstractNumId="14">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0"/>
  </w:num>
  <w:num w:numId="3">
    <w:abstractNumId w:val="3"/>
  </w:num>
  <w:num w:numId="4">
    <w:abstractNumId w:val="13"/>
  </w:num>
  <w:num w:numId="5">
    <w:abstractNumId w:val="1"/>
  </w:num>
  <w:num w:numId="6">
    <w:abstractNumId w:val="12"/>
  </w:num>
  <w:num w:numId="7">
    <w:abstractNumId w:val="5"/>
  </w:num>
  <w:num w:numId="8">
    <w:abstractNumId w:val="7"/>
  </w:num>
  <w:num w:numId="9">
    <w:abstractNumId w:val="9"/>
  </w:num>
  <w:num w:numId="10">
    <w:abstractNumId w:val="11"/>
  </w:num>
  <w:num w:numId="11">
    <w:abstractNumId w:val="10"/>
  </w:num>
  <w:num w:numId="12">
    <w:abstractNumId w:val="8"/>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2ZmJjOTY4ZTYzOTczY2FhYTE4ODUxNTNhOGZkZDg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5EA5"/>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D7FD1"/>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21AC"/>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0BCC"/>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8863B5A"/>
    <w:rsid w:val="090F054D"/>
    <w:rsid w:val="092A6EBF"/>
    <w:rsid w:val="09B7350D"/>
    <w:rsid w:val="09BD1579"/>
    <w:rsid w:val="09F50C49"/>
    <w:rsid w:val="0AC11E56"/>
    <w:rsid w:val="0BCB13EE"/>
    <w:rsid w:val="0BEB0ACE"/>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6A733A"/>
    <w:rsid w:val="199C46D2"/>
    <w:rsid w:val="19DE7410"/>
    <w:rsid w:val="19E40AAB"/>
    <w:rsid w:val="1AC53EA5"/>
    <w:rsid w:val="1B212FC9"/>
    <w:rsid w:val="1BAD37B7"/>
    <w:rsid w:val="1BEE2E1A"/>
    <w:rsid w:val="1BF607AC"/>
    <w:rsid w:val="1C097BAD"/>
    <w:rsid w:val="1C5476AF"/>
    <w:rsid w:val="1C561339"/>
    <w:rsid w:val="1D2761C3"/>
    <w:rsid w:val="1D522C31"/>
    <w:rsid w:val="1D84041B"/>
    <w:rsid w:val="1DD2797F"/>
    <w:rsid w:val="1E4B557E"/>
    <w:rsid w:val="1E665C4B"/>
    <w:rsid w:val="1F436E2D"/>
    <w:rsid w:val="1F7137EC"/>
    <w:rsid w:val="2036035D"/>
    <w:rsid w:val="20576C00"/>
    <w:rsid w:val="21837592"/>
    <w:rsid w:val="219C5205"/>
    <w:rsid w:val="21AB4F2B"/>
    <w:rsid w:val="21B0056E"/>
    <w:rsid w:val="21EE4C73"/>
    <w:rsid w:val="223F49CF"/>
    <w:rsid w:val="224B4BC0"/>
    <w:rsid w:val="228B5889"/>
    <w:rsid w:val="22CB694D"/>
    <w:rsid w:val="22FC5C1C"/>
    <w:rsid w:val="230627D6"/>
    <w:rsid w:val="238174E2"/>
    <w:rsid w:val="23A87963"/>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91863"/>
    <w:rsid w:val="2A087B61"/>
    <w:rsid w:val="2A53244F"/>
    <w:rsid w:val="2A6D0569"/>
    <w:rsid w:val="2A8236AD"/>
    <w:rsid w:val="2C2B52BD"/>
    <w:rsid w:val="2CA67F1A"/>
    <w:rsid w:val="2CDE2318"/>
    <w:rsid w:val="2D736ED1"/>
    <w:rsid w:val="2DA322BC"/>
    <w:rsid w:val="2DFE78B5"/>
    <w:rsid w:val="2E116496"/>
    <w:rsid w:val="2E207276"/>
    <w:rsid w:val="2EC109D9"/>
    <w:rsid w:val="2EC31C9A"/>
    <w:rsid w:val="2ECD5AF2"/>
    <w:rsid w:val="2F053045"/>
    <w:rsid w:val="2F1A6DB3"/>
    <w:rsid w:val="2F1D74CF"/>
    <w:rsid w:val="2F4643F1"/>
    <w:rsid w:val="2FA171FF"/>
    <w:rsid w:val="3020776F"/>
    <w:rsid w:val="30A92E79"/>
    <w:rsid w:val="31072FA6"/>
    <w:rsid w:val="31362165"/>
    <w:rsid w:val="313E2902"/>
    <w:rsid w:val="32A425AC"/>
    <w:rsid w:val="32C713BC"/>
    <w:rsid w:val="32FC208F"/>
    <w:rsid w:val="33A75988"/>
    <w:rsid w:val="33E86189"/>
    <w:rsid w:val="34CA68A5"/>
    <w:rsid w:val="34E0663E"/>
    <w:rsid w:val="356C61F6"/>
    <w:rsid w:val="359C45CF"/>
    <w:rsid w:val="35BD5EAB"/>
    <w:rsid w:val="36217DD0"/>
    <w:rsid w:val="365739C6"/>
    <w:rsid w:val="369A1DFC"/>
    <w:rsid w:val="37765CD1"/>
    <w:rsid w:val="37EC1E2E"/>
    <w:rsid w:val="381D25E5"/>
    <w:rsid w:val="38787F0C"/>
    <w:rsid w:val="38900031"/>
    <w:rsid w:val="39242C8C"/>
    <w:rsid w:val="395056BD"/>
    <w:rsid w:val="398377B4"/>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73550D"/>
    <w:rsid w:val="43B74137"/>
    <w:rsid w:val="44134CD1"/>
    <w:rsid w:val="442B730B"/>
    <w:rsid w:val="443B576F"/>
    <w:rsid w:val="44817776"/>
    <w:rsid w:val="44AE7790"/>
    <w:rsid w:val="44B05363"/>
    <w:rsid w:val="44ED7A5D"/>
    <w:rsid w:val="45746D77"/>
    <w:rsid w:val="45783E2A"/>
    <w:rsid w:val="467744DE"/>
    <w:rsid w:val="46AA2F9F"/>
    <w:rsid w:val="47240B86"/>
    <w:rsid w:val="47305BC4"/>
    <w:rsid w:val="47372CF3"/>
    <w:rsid w:val="47A21A5A"/>
    <w:rsid w:val="49143E1C"/>
    <w:rsid w:val="49202C5C"/>
    <w:rsid w:val="492F5E19"/>
    <w:rsid w:val="49457F49"/>
    <w:rsid w:val="497E5D89"/>
    <w:rsid w:val="49DA5E47"/>
    <w:rsid w:val="4AE803EE"/>
    <w:rsid w:val="4B340612"/>
    <w:rsid w:val="4B495F59"/>
    <w:rsid w:val="4B604C37"/>
    <w:rsid w:val="4C256355"/>
    <w:rsid w:val="4C6E55F2"/>
    <w:rsid w:val="4CB71C1E"/>
    <w:rsid w:val="4CFC7E58"/>
    <w:rsid w:val="4D026BCD"/>
    <w:rsid w:val="4D9B417B"/>
    <w:rsid w:val="4DB7065A"/>
    <w:rsid w:val="4E18314D"/>
    <w:rsid w:val="4E3F2042"/>
    <w:rsid w:val="4E477080"/>
    <w:rsid w:val="4E96547B"/>
    <w:rsid w:val="4F0A57B0"/>
    <w:rsid w:val="4F8B4BA1"/>
    <w:rsid w:val="4FEE79B0"/>
    <w:rsid w:val="4FF75E93"/>
    <w:rsid w:val="50713279"/>
    <w:rsid w:val="50C85D20"/>
    <w:rsid w:val="514802FF"/>
    <w:rsid w:val="523C12EE"/>
    <w:rsid w:val="527E2D69"/>
    <w:rsid w:val="528B45BF"/>
    <w:rsid w:val="53B5360D"/>
    <w:rsid w:val="53C632A2"/>
    <w:rsid w:val="542B4CDD"/>
    <w:rsid w:val="545220CA"/>
    <w:rsid w:val="54E52121"/>
    <w:rsid w:val="55826ACB"/>
    <w:rsid w:val="56374386"/>
    <w:rsid w:val="5675751C"/>
    <w:rsid w:val="56CE6021"/>
    <w:rsid w:val="58421289"/>
    <w:rsid w:val="58D2287C"/>
    <w:rsid w:val="58E169E4"/>
    <w:rsid w:val="590C146F"/>
    <w:rsid w:val="59F537F6"/>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0F70930"/>
    <w:rsid w:val="610469E3"/>
    <w:rsid w:val="61A60F01"/>
    <w:rsid w:val="6214703C"/>
    <w:rsid w:val="623540BA"/>
    <w:rsid w:val="632379EE"/>
    <w:rsid w:val="633234DD"/>
    <w:rsid w:val="633A07DB"/>
    <w:rsid w:val="63706DD2"/>
    <w:rsid w:val="649F02EE"/>
    <w:rsid w:val="64B14D8B"/>
    <w:rsid w:val="65091C48"/>
    <w:rsid w:val="65CC7705"/>
    <w:rsid w:val="661E5502"/>
    <w:rsid w:val="666A26CD"/>
    <w:rsid w:val="669E03F4"/>
    <w:rsid w:val="66BE4056"/>
    <w:rsid w:val="66D8117C"/>
    <w:rsid w:val="66D91F86"/>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C535F"/>
    <w:rsid w:val="79AE4502"/>
    <w:rsid w:val="79E41F7F"/>
    <w:rsid w:val="7A3F1341"/>
    <w:rsid w:val="7AB616DF"/>
    <w:rsid w:val="7B0C08CE"/>
    <w:rsid w:val="7B4C0BB5"/>
    <w:rsid w:val="7C515F4E"/>
    <w:rsid w:val="7C676B51"/>
    <w:rsid w:val="7C7962E1"/>
    <w:rsid w:val="7D284715"/>
    <w:rsid w:val="7D63747C"/>
    <w:rsid w:val="7D796503"/>
    <w:rsid w:val="7DBE3EF7"/>
    <w:rsid w:val="7E232F6F"/>
    <w:rsid w:val="7E353F71"/>
    <w:rsid w:val="7E776923"/>
    <w:rsid w:val="7E850694"/>
    <w:rsid w:val="7EB02D4D"/>
    <w:rsid w:val="7F34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link w:val="95"/>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link w:val="97"/>
    <w:qFormat/>
    <w:uiPriority w:val="0"/>
    <w:pPr>
      <w:ind w:firstLine="560" w:firstLineChars="200"/>
    </w:pPr>
    <w:rPr>
      <w:rFonts w:ascii="宋体" w:hAnsi="宋体"/>
      <w:sz w:val="28"/>
      <w:szCs w:val="24"/>
    </w:rPr>
  </w:style>
  <w:style w:type="paragraph" w:styleId="15">
    <w:name w:val="Plain Text"/>
    <w:basedOn w:val="1"/>
    <w:link w:val="41"/>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9"/>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40"/>
    <w:qFormat/>
    <w:uiPriority w:val="0"/>
    <w:pPr>
      <w:jc w:val="center"/>
    </w:pPr>
    <w:rPr>
      <w:rFonts w:ascii="Cambria" w:hAnsi="Cambria"/>
      <w:b/>
      <w:bCs/>
      <w:sz w:val="32"/>
      <w:szCs w:val="32"/>
    </w:rPr>
  </w:style>
  <w:style w:type="paragraph" w:styleId="25">
    <w:name w:val="annotation subject"/>
    <w:basedOn w:val="12"/>
    <w:next w:val="12"/>
    <w:link w:val="96"/>
    <w:qFormat/>
    <w:uiPriority w:val="0"/>
    <w:pPr>
      <w:adjustRightInd/>
      <w:spacing w:line="240" w:lineRule="auto"/>
      <w:textAlignment w:val="auto"/>
    </w:pPr>
    <w:rPr>
      <w:b/>
      <w:bCs/>
      <w:kern w:val="2"/>
      <w:sz w:val="21"/>
    </w:rPr>
  </w:style>
  <w:style w:type="paragraph" w:styleId="26">
    <w:name w:val="Body Text First Indent 2"/>
    <w:basedOn w:val="14"/>
    <w:link w:val="98"/>
    <w:unhideWhenUsed/>
    <w:qFormat/>
    <w:uiPriority w:val="0"/>
    <w:pPr>
      <w:spacing w:after="120"/>
      <w:ind w:left="420" w:leftChars="200" w:firstLine="420"/>
    </w:pPr>
    <w:rPr>
      <w:rFonts w:ascii="Times New Roman" w:hAnsi="Times New Roman"/>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Emphasis"/>
    <w:basedOn w:val="29"/>
    <w:qFormat/>
    <w:uiPriority w:val="0"/>
    <w:rPr>
      <w:i/>
      <w:iCs/>
    </w:rPr>
  </w:style>
  <w:style w:type="character" w:styleId="33">
    <w:name w:val="Hyperlink"/>
    <w:basedOn w:val="29"/>
    <w:qFormat/>
    <w:uiPriority w:val="0"/>
    <w:rPr>
      <w:color w:val="0000FF"/>
      <w:u w:val="single"/>
    </w:rPr>
  </w:style>
  <w:style w:type="character" w:styleId="34">
    <w:name w:val="annotation reference"/>
    <w:basedOn w:val="29"/>
    <w:qFormat/>
    <w:uiPriority w:val="0"/>
    <w:rPr>
      <w:sz w:val="21"/>
      <w:szCs w:val="21"/>
    </w:rPr>
  </w:style>
  <w:style w:type="character" w:customStyle="1" w:styleId="35">
    <w:name w:val="font11"/>
    <w:basedOn w:val="29"/>
    <w:qFormat/>
    <w:uiPriority w:val="0"/>
    <w:rPr>
      <w:rFonts w:hint="eastAsia" w:ascii="宋体" w:hAnsi="宋体" w:eastAsia="宋体" w:cs="宋体"/>
      <w:color w:val="000000"/>
      <w:sz w:val="24"/>
      <w:szCs w:val="24"/>
      <w:u w:val="none"/>
    </w:rPr>
  </w:style>
  <w:style w:type="character" w:customStyle="1" w:styleId="36">
    <w:name w:val="标题 Char1"/>
    <w:qFormat/>
    <w:uiPriority w:val="0"/>
    <w:rPr>
      <w:rFonts w:ascii="Cambria" w:hAnsi="Cambria" w:cs="Times New Roman"/>
      <w:b/>
      <w:bCs/>
      <w:kern w:val="2"/>
      <w:sz w:val="32"/>
      <w:szCs w:val="32"/>
    </w:rPr>
  </w:style>
  <w:style w:type="character" w:customStyle="1" w:styleId="37">
    <w:name w:val="Char Char Char"/>
    <w:basedOn w:val="29"/>
    <w:qFormat/>
    <w:uiPriority w:val="0"/>
    <w:rPr>
      <w:rFonts w:ascii="宋体" w:hAnsi="Courier New" w:eastAsia="宋体"/>
      <w:kern w:val="2"/>
      <w:sz w:val="21"/>
      <w:szCs w:val="24"/>
      <w:lang w:val="en-US" w:eastAsia="zh-CN" w:bidi="ar-SA"/>
    </w:rPr>
  </w:style>
  <w:style w:type="character" w:customStyle="1" w:styleId="38">
    <w:name w:val="标题 Char"/>
    <w:basedOn w:val="29"/>
    <w:qFormat/>
    <w:uiPriority w:val="0"/>
    <w:rPr>
      <w:rFonts w:ascii="Cambria" w:hAnsi="Cambria" w:cs="Times New Roman"/>
      <w:b/>
      <w:bCs/>
      <w:kern w:val="2"/>
      <w:sz w:val="36"/>
      <w:szCs w:val="32"/>
    </w:rPr>
  </w:style>
  <w:style w:type="character" w:customStyle="1" w:styleId="39">
    <w:name w:val="批注框文本 Char"/>
    <w:link w:val="18"/>
    <w:qFormat/>
    <w:uiPriority w:val="0"/>
    <w:rPr>
      <w:rFonts w:eastAsia="宋体"/>
      <w:kern w:val="2"/>
      <w:sz w:val="18"/>
      <w:szCs w:val="18"/>
      <w:lang w:val="en-US" w:eastAsia="zh-CN" w:bidi="ar-SA"/>
    </w:rPr>
  </w:style>
  <w:style w:type="character" w:customStyle="1" w:styleId="40">
    <w:name w:val="标题 Char2"/>
    <w:link w:val="24"/>
    <w:qFormat/>
    <w:locked/>
    <w:uiPriority w:val="0"/>
    <w:rPr>
      <w:rFonts w:ascii="Cambria" w:hAnsi="Cambria"/>
      <w:b/>
      <w:bCs/>
      <w:kern w:val="2"/>
      <w:sz w:val="32"/>
      <w:szCs w:val="32"/>
      <w:lang w:bidi="ar-SA"/>
    </w:rPr>
  </w:style>
  <w:style w:type="character" w:customStyle="1" w:styleId="41">
    <w:name w:val="纯文本 Char"/>
    <w:basedOn w:val="29"/>
    <w:link w:val="15"/>
    <w:qFormat/>
    <w:uiPriority w:val="0"/>
    <w:rPr>
      <w:rFonts w:ascii="宋体" w:hAnsi="Courier New" w:eastAsia="宋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眉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页脚 New New New New New New New New"/>
    <w:basedOn w:val="49"/>
    <w:qFormat/>
    <w:uiPriority w:val="0"/>
    <w:pPr>
      <w:tabs>
        <w:tab w:val="center" w:pos="4153"/>
        <w:tab w:val="right" w:pos="8306"/>
      </w:tabs>
      <w:snapToGrid w:val="0"/>
      <w:jc w:val="left"/>
    </w:pPr>
    <w:rPr>
      <w:sz w:val="18"/>
    </w:rPr>
  </w:style>
  <w:style w:type="paragraph" w:customStyle="1" w:styleId="4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Char Char Char Char"/>
    <w:basedOn w:val="1"/>
    <w:qFormat/>
    <w:uiPriority w:val="0"/>
    <w:rPr>
      <w:rFonts w:eastAsia="仿宋_GB2312"/>
      <w:sz w:val="32"/>
    </w:rPr>
  </w:style>
  <w:style w:type="paragraph" w:customStyle="1" w:styleId="52">
    <w:name w:val="页脚 New"/>
    <w:basedOn w:val="47"/>
    <w:qFormat/>
    <w:uiPriority w:val="0"/>
    <w:pPr>
      <w:tabs>
        <w:tab w:val="center" w:pos="4153"/>
        <w:tab w:val="right" w:pos="8306"/>
      </w:tabs>
      <w:snapToGrid w:val="0"/>
      <w:jc w:val="left"/>
    </w:pPr>
    <w:rPr>
      <w:sz w:val="18"/>
    </w:rPr>
  </w:style>
  <w:style w:type="paragraph" w:customStyle="1" w:styleId="53">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页脚 New New"/>
    <w:basedOn w:val="55"/>
    <w:qFormat/>
    <w:uiPriority w:val="0"/>
    <w:pPr>
      <w:tabs>
        <w:tab w:val="center" w:pos="4153"/>
        <w:tab w:val="right" w:pos="8306"/>
      </w:tabs>
      <w:snapToGrid w:val="0"/>
      <w:jc w:val="left"/>
    </w:pPr>
    <w:rPr>
      <w:sz w:val="18"/>
    </w:rPr>
  </w:style>
  <w:style w:type="paragraph" w:customStyle="1" w:styleId="5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普通(网站) New"/>
    <w:basedOn w:val="42"/>
    <w:qFormat/>
    <w:uiPriority w:val="0"/>
    <w:pPr>
      <w:widowControl/>
      <w:spacing w:before="100" w:beforeAutospacing="1" w:after="100" w:afterAutospacing="1"/>
      <w:jc w:val="left"/>
    </w:pPr>
    <w:rPr>
      <w:rFonts w:ascii="宋体" w:hAnsi="宋体"/>
      <w:color w:val="000000"/>
      <w:kern w:val="0"/>
      <w:sz w:val="24"/>
    </w:rPr>
  </w:style>
  <w:style w:type="paragraph" w:customStyle="1" w:styleId="62">
    <w:name w:val="页脚 New New New New New New New New New New"/>
    <w:basedOn w:val="44"/>
    <w:qFormat/>
    <w:uiPriority w:val="0"/>
    <w:pPr>
      <w:tabs>
        <w:tab w:val="center" w:pos="4153"/>
        <w:tab w:val="right" w:pos="8306"/>
      </w:tabs>
      <w:snapToGrid w:val="0"/>
      <w:jc w:val="left"/>
    </w:pPr>
    <w:rPr>
      <w:sz w:val="18"/>
    </w:rPr>
  </w:style>
  <w:style w:type="paragraph" w:customStyle="1" w:styleId="63">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4">
    <w:name w:val="页眉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5">
    <w:name w:val="_Style 8"/>
    <w:basedOn w:val="1"/>
    <w:next w:val="2"/>
    <w:qFormat/>
    <w:uiPriority w:val="0"/>
    <w:pPr>
      <w:spacing w:line="360" w:lineRule="auto"/>
      <w:ind w:firstLine="632"/>
    </w:pPr>
    <w:rPr>
      <w:rFonts w:ascii="黑体" w:eastAsia="黑体"/>
      <w:sz w:val="28"/>
    </w:rPr>
  </w:style>
  <w:style w:type="paragraph" w:customStyle="1" w:styleId="66">
    <w:name w:val="页眉 New New New New"/>
    <w:basedOn w:val="6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9">
    <w:name w:val="标题 2 New New"/>
    <w:basedOn w:val="68"/>
    <w:next w:val="68"/>
    <w:qFormat/>
    <w:uiPriority w:val="0"/>
    <w:pPr>
      <w:keepNext/>
      <w:keepLines/>
      <w:adjustRightInd w:val="0"/>
      <w:snapToGrid w:val="0"/>
      <w:spacing w:line="360" w:lineRule="auto"/>
      <w:outlineLvl w:val="1"/>
    </w:pPr>
    <w:rPr>
      <w:rFonts w:ascii="宋体" w:hAnsi="宋体"/>
    </w:rPr>
  </w:style>
  <w:style w:type="paragraph" w:customStyle="1" w:styleId="7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普通(网站) New New"/>
    <w:basedOn w:val="70"/>
    <w:qFormat/>
    <w:uiPriority w:val="0"/>
    <w:pPr>
      <w:widowControl/>
      <w:spacing w:before="100" w:beforeAutospacing="1" w:after="100" w:afterAutospacing="1"/>
      <w:jc w:val="left"/>
    </w:pPr>
    <w:rPr>
      <w:rFonts w:ascii="宋体" w:hAnsi="宋体"/>
      <w:color w:val="000000"/>
      <w:kern w:val="0"/>
      <w:sz w:val="24"/>
    </w:rPr>
  </w:style>
  <w:style w:type="paragraph" w:customStyle="1" w:styleId="72">
    <w:name w:val="页脚 New New New New New New New New New"/>
    <w:basedOn w:val="73"/>
    <w:qFormat/>
    <w:uiPriority w:val="0"/>
    <w:pPr>
      <w:tabs>
        <w:tab w:val="center" w:pos="4153"/>
        <w:tab w:val="right" w:pos="8306"/>
      </w:tabs>
      <w:snapToGrid w:val="0"/>
      <w:jc w:val="left"/>
    </w:pPr>
    <w:rPr>
      <w:sz w:val="18"/>
    </w:rPr>
  </w:style>
  <w:style w:type="paragraph" w:customStyle="1" w:styleId="73">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5">
    <w:name w:val="页脚 New New New New New New New"/>
    <w:basedOn w:val="43"/>
    <w:qFormat/>
    <w:uiPriority w:val="0"/>
    <w:pPr>
      <w:tabs>
        <w:tab w:val="center" w:pos="4153"/>
        <w:tab w:val="right" w:pos="8306"/>
      </w:tabs>
      <w:snapToGrid w:val="0"/>
      <w:jc w:val="left"/>
    </w:pPr>
    <w:rPr>
      <w:sz w:val="18"/>
    </w:rPr>
  </w:style>
  <w:style w:type="paragraph" w:customStyle="1" w:styleId="76">
    <w:name w:val="页脚 New New New New New"/>
    <w:basedOn w:val="60"/>
    <w:qFormat/>
    <w:uiPriority w:val="0"/>
    <w:pPr>
      <w:tabs>
        <w:tab w:val="center" w:pos="4153"/>
        <w:tab w:val="right" w:pos="8306"/>
      </w:tabs>
      <w:snapToGrid w:val="0"/>
      <w:jc w:val="left"/>
    </w:pPr>
    <w:rPr>
      <w:sz w:val="18"/>
    </w:rPr>
  </w:style>
  <w:style w:type="paragraph" w:customStyle="1" w:styleId="77">
    <w:name w:val="页眉 New New New New New New New New New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New New New New"/>
    <w:basedOn w:val="7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页眉 New New New New New New"/>
    <w:basedOn w:val="5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0">
    <w:name w:val="页眉 New New New New New New New New"/>
    <w:basedOn w:val="49"/>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1">
    <w:name w:val="页眉 New New New New New"/>
    <w:basedOn w:val="6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2">
    <w:name w:val="标题 1 New"/>
    <w:basedOn w:val="47"/>
    <w:next w:val="47"/>
    <w:qFormat/>
    <w:uiPriority w:val="0"/>
    <w:pPr>
      <w:keepNext/>
      <w:keepLines/>
      <w:spacing w:before="340" w:after="330" w:line="576" w:lineRule="auto"/>
      <w:outlineLvl w:val="0"/>
    </w:pPr>
    <w:rPr>
      <w:b/>
      <w:kern w:val="44"/>
      <w:sz w:val="44"/>
    </w:rPr>
  </w:style>
  <w:style w:type="paragraph" w:customStyle="1" w:styleId="83">
    <w:name w:val="页脚 New New New New"/>
    <w:basedOn w:val="68"/>
    <w:qFormat/>
    <w:uiPriority w:val="0"/>
    <w:pPr>
      <w:tabs>
        <w:tab w:val="center" w:pos="4153"/>
        <w:tab w:val="right" w:pos="8306"/>
      </w:tabs>
      <w:snapToGrid w:val="0"/>
      <w:jc w:val="left"/>
    </w:pPr>
    <w:rPr>
      <w:sz w:val="18"/>
    </w:rPr>
  </w:style>
  <w:style w:type="paragraph" w:customStyle="1" w:styleId="8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页脚 New New New"/>
    <w:basedOn w:val="57"/>
    <w:qFormat/>
    <w:uiPriority w:val="0"/>
    <w:pPr>
      <w:tabs>
        <w:tab w:val="center" w:pos="4153"/>
        <w:tab w:val="right" w:pos="8306"/>
      </w:tabs>
      <w:snapToGrid w:val="0"/>
      <w:jc w:val="left"/>
    </w:pPr>
    <w:rPr>
      <w:sz w:val="18"/>
    </w:rPr>
  </w:style>
  <w:style w:type="paragraph" w:customStyle="1" w:styleId="86">
    <w:name w:val="页眉 New New New New New New New"/>
    <w:basedOn w:val="4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7">
    <w:name w:val="页脚 New New New New New New"/>
    <w:basedOn w:val="50"/>
    <w:qFormat/>
    <w:uiPriority w:val="0"/>
    <w:pPr>
      <w:tabs>
        <w:tab w:val="center" w:pos="4153"/>
        <w:tab w:val="right" w:pos="8306"/>
      </w:tabs>
      <w:snapToGrid w:val="0"/>
      <w:jc w:val="left"/>
    </w:pPr>
    <w:rPr>
      <w:sz w:val="18"/>
    </w:rPr>
  </w:style>
  <w:style w:type="paragraph" w:customStyle="1" w:styleId="88">
    <w:name w:val="页眉 New New"/>
    <w:basedOn w:val="5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9">
    <w:name w:val="List Paragraph"/>
    <w:basedOn w:val="1"/>
    <w:qFormat/>
    <w:uiPriority w:val="34"/>
    <w:pPr>
      <w:ind w:firstLine="420" w:firstLineChars="200"/>
    </w:pPr>
    <w:rPr>
      <w:rFonts w:ascii="Calibri" w:hAnsi="Calibri"/>
      <w:szCs w:val="22"/>
    </w:rPr>
  </w:style>
  <w:style w:type="character" w:customStyle="1" w:styleId="90">
    <w:name w:val="font21"/>
    <w:basedOn w:val="29"/>
    <w:qFormat/>
    <w:uiPriority w:val="0"/>
    <w:rPr>
      <w:rFonts w:hint="eastAsia" w:ascii="宋体" w:hAnsi="宋体" w:eastAsia="宋体" w:cs="宋体"/>
      <w:color w:val="000000"/>
      <w:sz w:val="20"/>
      <w:szCs w:val="20"/>
      <w:u w:val="none"/>
    </w:rPr>
  </w:style>
  <w:style w:type="character" w:customStyle="1" w:styleId="91">
    <w:name w:val="font31"/>
    <w:basedOn w:val="29"/>
    <w:qFormat/>
    <w:uiPriority w:val="0"/>
    <w:rPr>
      <w:rFonts w:ascii="STSong-Light" w:hAnsi="STSong-Light" w:eastAsia="STSong-Light" w:cs="STSong-Light"/>
      <w:color w:val="000000"/>
      <w:sz w:val="20"/>
      <w:szCs w:val="20"/>
      <w:u w:val="none"/>
    </w:rPr>
  </w:style>
  <w:style w:type="character" w:customStyle="1" w:styleId="92">
    <w:name w:val="font41"/>
    <w:basedOn w:val="29"/>
    <w:qFormat/>
    <w:uiPriority w:val="0"/>
    <w:rPr>
      <w:rFonts w:hint="eastAsia" w:ascii="宋体" w:hAnsi="宋体" w:eastAsia="宋体" w:cs="宋体"/>
      <w:color w:val="000000"/>
      <w:sz w:val="20"/>
      <w:szCs w:val="20"/>
      <w:u w:val="none"/>
    </w:rPr>
  </w:style>
  <w:style w:type="character" w:customStyle="1" w:styleId="93">
    <w:name w:val="font81"/>
    <w:basedOn w:val="29"/>
    <w:qFormat/>
    <w:uiPriority w:val="0"/>
    <w:rPr>
      <w:rFonts w:ascii="Arial" w:hAnsi="Arial" w:cs="Arial"/>
      <w:b/>
      <w:bCs/>
      <w:color w:val="000000"/>
      <w:sz w:val="24"/>
      <w:szCs w:val="24"/>
      <w:u w:val="none"/>
    </w:rPr>
  </w:style>
  <w:style w:type="character" w:customStyle="1" w:styleId="94">
    <w:name w:val="font61"/>
    <w:basedOn w:val="29"/>
    <w:qFormat/>
    <w:uiPriority w:val="0"/>
    <w:rPr>
      <w:rFonts w:hint="eastAsia" w:ascii="宋体" w:hAnsi="宋体" w:eastAsia="宋体" w:cs="宋体"/>
      <w:b/>
      <w:bCs/>
      <w:color w:val="000000"/>
      <w:sz w:val="24"/>
      <w:szCs w:val="24"/>
      <w:u w:val="none"/>
    </w:rPr>
  </w:style>
  <w:style w:type="character" w:customStyle="1" w:styleId="95">
    <w:name w:val="批注文字 Char"/>
    <w:basedOn w:val="29"/>
    <w:link w:val="12"/>
    <w:qFormat/>
    <w:uiPriority w:val="0"/>
    <w:rPr>
      <w:sz w:val="24"/>
    </w:rPr>
  </w:style>
  <w:style w:type="character" w:customStyle="1" w:styleId="96">
    <w:name w:val="批注主题 Char"/>
    <w:basedOn w:val="95"/>
    <w:link w:val="25"/>
    <w:qFormat/>
    <w:uiPriority w:val="0"/>
  </w:style>
  <w:style w:type="character" w:customStyle="1" w:styleId="97">
    <w:name w:val="正文文本缩进 Char"/>
    <w:basedOn w:val="29"/>
    <w:link w:val="14"/>
    <w:qFormat/>
    <w:uiPriority w:val="0"/>
    <w:rPr>
      <w:rFonts w:ascii="宋体" w:hAnsi="宋体"/>
      <w:kern w:val="2"/>
      <w:sz w:val="28"/>
      <w:szCs w:val="24"/>
    </w:rPr>
  </w:style>
  <w:style w:type="character" w:customStyle="1" w:styleId="98">
    <w:name w:val="正文首行缩进 2 Char"/>
    <w:basedOn w:val="97"/>
    <w:link w:val="26"/>
    <w:qFormat/>
    <w:uiPriority w:val="0"/>
  </w:style>
  <w:style w:type="paragraph" w:customStyle="1" w:styleId="9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15909</Words>
  <Characters>19008</Characters>
  <Lines>157</Lines>
  <Paragraphs>44</Paragraphs>
  <TotalTime>83</TotalTime>
  <ScaleCrop>false</ScaleCrop>
  <LinksUpToDate>false</LinksUpToDate>
  <CharactersWithSpaces>19310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2021-10-24T13:59:00Z</dcterms:created>
  <dc:creator>User</dc:creator>
  <cp:lastModifiedBy>郑传飞</cp:lastModifiedBy>
  <cp:lastPrinted>2022-09-14T00:55:00Z</cp:lastPrinted>
  <dcterms:modified xsi:type="dcterms:W3CDTF">2022-09-15T03:50:23Z</dcterms:modified>
  <dc:title>福建省高速公路养护工程材料采购</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E33CBA8621DC414B8B3C82534D0411E4</vt:lpwstr>
  </property>
</Properties>
</file>