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spacing w:line="400" w:lineRule="exact"/>
        <w:rPr>
          <w:rFonts w:asciiTheme="minorEastAsia" w:hAnsiTheme="minorEastAsia" w:eastAsiaTheme="minorEastAsia" w:cstheme="minorEastAsia"/>
          <w:b/>
          <w:color w:val="auto"/>
          <w:kern w:val="2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2"/>
          <w:sz w:val="32"/>
          <w:szCs w:val="32"/>
          <w:highlight w:val="none"/>
        </w:rPr>
        <w:t>竞价公告</w:t>
      </w:r>
    </w:p>
    <w:p>
      <w:pPr>
        <w:widowControl/>
        <w:numPr>
          <w:ilvl w:val="0"/>
          <w:numId w:val="2"/>
        </w:numPr>
        <w:ind w:left="280" w:hanging="280"/>
        <w:jc w:val="left"/>
        <w:rPr>
          <w:rFonts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highlight w:val="none"/>
        </w:rPr>
      </w:pPr>
      <w:bookmarkStart w:id="0" w:name="_Toc409439663"/>
      <w:bookmarkStart w:id="1" w:name="_Toc508286650"/>
      <w:bookmarkStart w:id="2" w:name="_Toc257911916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highlight w:val="none"/>
        </w:rPr>
        <w:t>采购条件</w:t>
      </w:r>
    </w:p>
    <w:p>
      <w:pPr>
        <w:widowControl/>
        <w:ind w:left="269" w:leftChars="128" w:firstLine="560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本采购项目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>政永高速屏古段</w:t>
      </w:r>
      <w:r>
        <w:rPr>
          <w:rFonts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>水毁修复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>等工程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（项目名称），建设资金来自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 xml:space="preserve"> 公司自有资金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 xml:space="preserve">（资金来源），项目已具备采购条件，现邀请你单位参加报价。 </w:t>
      </w:r>
    </w:p>
    <w:p>
      <w:pPr>
        <w:widowControl/>
        <w:jc w:val="left"/>
        <w:rPr>
          <w:rFonts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二、项目概况及标段划分</w:t>
      </w:r>
    </w:p>
    <w:p>
      <w:pPr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>政永高速屏古段</w:t>
      </w:r>
      <w:r>
        <w:rPr>
          <w:rFonts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>水毁修复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>等工程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。</w:t>
      </w:r>
    </w:p>
    <w:p>
      <w:pPr>
        <w:spacing w:line="600" w:lineRule="exact"/>
        <w:ind w:left="420" w:leftChars="200" w:firstLine="140" w:firstLineChars="5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采购方式：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公开竞价。</w:t>
      </w:r>
    </w:p>
    <w:p>
      <w:pPr>
        <w:spacing w:line="600" w:lineRule="exact"/>
        <w:ind w:firstLine="560" w:firstLineChars="200"/>
        <w:rPr>
          <w:rFonts w:asciiTheme="majorEastAsia" w:hAnsiTheme="majorEastAsia" w:eastAsiaTheme="majorEastAsia" w:cstheme="majorEastAsia"/>
          <w:color w:val="auto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</w:rPr>
        <w:t>3、采购项目内容：清理土石方、护面墙、挡土墙等。</w:t>
      </w:r>
    </w:p>
    <w:p>
      <w:pPr>
        <w:spacing w:line="600" w:lineRule="exact"/>
        <w:ind w:left="420" w:leftChars="200" w:firstLine="140" w:firstLineChars="50"/>
        <w:rPr>
          <w:rFonts w:asciiTheme="majorEastAsia" w:hAnsiTheme="majorEastAsia" w:eastAsiaTheme="majorEastAsia" w:cstheme="majorEastAsia"/>
          <w:color w:val="auto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</w:rPr>
        <w:t>4、项目地点：京台、政永高速屏古段沿线</w:t>
      </w:r>
    </w:p>
    <w:p>
      <w:pPr>
        <w:spacing w:line="600" w:lineRule="exact"/>
        <w:ind w:left="420" w:leftChars="200" w:firstLine="140" w:firstLineChars="5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</w:rPr>
        <w:t>5、本项目共分为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  <w:u w:val="single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</w:rPr>
        <w:t>个合同包，本次共采购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  <w:u w:val="single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</w:rPr>
        <w:t>个合同包。具体情况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详见下表：</w:t>
      </w:r>
    </w:p>
    <w:p>
      <w:pPr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tbl>
      <w:tblPr>
        <w:tblStyle w:val="7"/>
        <w:tblW w:w="115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920"/>
        <w:gridCol w:w="4375"/>
        <w:gridCol w:w="23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合同包</w:t>
            </w:r>
          </w:p>
        </w:tc>
        <w:tc>
          <w:tcPr>
            <w:tcW w:w="2920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375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主要工程内容</w:t>
            </w:r>
          </w:p>
        </w:tc>
        <w:tc>
          <w:tcPr>
            <w:tcW w:w="2347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采购项目最高控制价（不含税）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870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合同包1</w:t>
            </w:r>
          </w:p>
        </w:tc>
        <w:tc>
          <w:tcPr>
            <w:tcW w:w="292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政永高速屏古段A道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水毁修复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工程</w:t>
            </w:r>
          </w:p>
        </w:tc>
        <w:tc>
          <w:tcPr>
            <w:tcW w:w="4375" w:type="dxa"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single"/>
              </w:rPr>
              <w:t>清理土石方、C15护面墙等</w:t>
            </w:r>
          </w:p>
        </w:tc>
        <w:tc>
          <w:tcPr>
            <w:tcW w:w="234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1328073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870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合同包2</w:t>
            </w:r>
          </w:p>
        </w:tc>
        <w:tc>
          <w:tcPr>
            <w:tcW w:w="292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政永高速屏古段B道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水毁修复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工程</w:t>
            </w:r>
          </w:p>
        </w:tc>
        <w:tc>
          <w:tcPr>
            <w:tcW w:w="4375" w:type="dxa"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single"/>
              </w:rPr>
              <w:t>清理土石方、C15护面墙等</w:t>
            </w:r>
          </w:p>
        </w:tc>
        <w:tc>
          <w:tcPr>
            <w:tcW w:w="234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1992110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870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合同包3</w:t>
            </w:r>
          </w:p>
        </w:tc>
        <w:tc>
          <w:tcPr>
            <w:tcW w:w="292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政永、京台高速公路宁德段水毁修复工程</w:t>
            </w:r>
          </w:p>
        </w:tc>
        <w:tc>
          <w:tcPr>
            <w:tcW w:w="4375" w:type="dxa"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single"/>
              </w:rPr>
              <w:t>清理土石方、C20护面墙等</w:t>
            </w:r>
          </w:p>
        </w:tc>
        <w:tc>
          <w:tcPr>
            <w:tcW w:w="234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1941179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元</w:t>
            </w:r>
          </w:p>
        </w:tc>
      </w:tr>
    </w:tbl>
    <w:p>
      <w:pPr>
        <w:pStyle w:val="4"/>
        <w:rPr>
          <w:rFonts w:asciiTheme="minorEastAsia" w:hAnsiTheme="minorEastAsia" w:eastAsiaTheme="minorEastAsia" w:cstheme="minorEastAsia"/>
          <w:bCs/>
          <w:i w:val="0"/>
          <w:color w:val="auto"/>
          <w:kern w:val="2"/>
          <w:sz w:val="28"/>
          <w:szCs w:val="28"/>
          <w:highlight w:val="none"/>
        </w:rPr>
      </w:pPr>
    </w:p>
    <w:p>
      <w:pPr>
        <w:pStyle w:val="4"/>
        <w:rPr>
          <w:rFonts w:asciiTheme="minorEastAsia" w:hAnsiTheme="minorEastAsia" w:eastAsiaTheme="minorEastAsia" w:cstheme="minorEastAsia"/>
          <w:bCs/>
          <w:i w:val="0"/>
          <w:color w:val="auto"/>
          <w:kern w:val="2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i w:val="0"/>
          <w:color w:val="auto"/>
          <w:kern w:val="2"/>
          <w:sz w:val="28"/>
          <w:szCs w:val="28"/>
          <w:highlight w:val="none"/>
        </w:rPr>
        <w:t>三、施工工期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864"/>
        <w:gridCol w:w="1560"/>
        <w:gridCol w:w="24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合同包</w:t>
            </w:r>
          </w:p>
        </w:tc>
        <w:tc>
          <w:tcPr>
            <w:tcW w:w="2864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计划工期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缺陷责任期</w:t>
            </w:r>
          </w:p>
        </w:tc>
        <w:tc>
          <w:tcPr>
            <w:tcW w:w="249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缺陷责任期起始时间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合同包1</w:t>
            </w:r>
          </w:p>
        </w:tc>
        <w:tc>
          <w:tcPr>
            <w:tcW w:w="286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合同签订之日起90个日历天内完成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single"/>
              </w:rPr>
              <w:t>12个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4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自工程实际交工日期起计算12个月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合同包2</w:t>
            </w:r>
          </w:p>
        </w:tc>
        <w:tc>
          <w:tcPr>
            <w:tcW w:w="286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合同签订之日起90个日历天内完成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single"/>
              </w:rPr>
              <w:t>12个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4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自工程实际交工日期起计算12个月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合同包3</w:t>
            </w:r>
          </w:p>
        </w:tc>
        <w:tc>
          <w:tcPr>
            <w:tcW w:w="286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合同签订之日起90个日历天内完成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single"/>
              </w:rPr>
              <w:t>12个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4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自工程实际交工日期起计算12个月</w:t>
            </w:r>
          </w:p>
        </w:tc>
      </w:tr>
    </w:tbl>
    <w:p>
      <w:pPr>
        <w:pStyle w:val="4"/>
        <w:rPr>
          <w:rFonts w:asciiTheme="minorEastAsia" w:hAnsiTheme="minorEastAsia" w:eastAsiaTheme="minorEastAsia" w:cstheme="minorEastAsia"/>
          <w:bCs/>
          <w:i w:val="0"/>
          <w:color w:val="auto"/>
          <w:kern w:val="2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i w:val="0"/>
          <w:color w:val="auto"/>
          <w:kern w:val="2"/>
          <w:sz w:val="28"/>
          <w:szCs w:val="28"/>
          <w:highlight w:val="none"/>
        </w:rPr>
        <w:t>四、质量要求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52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交工验收的质量评定</w:t>
            </w:r>
          </w:p>
        </w:tc>
        <w:tc>
          <w:tcPr>
            <w:tcW w:w="525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竣工验收的质量评定</w:t>
            </w:r>
          </w:p>
        </w:tc>
        <w:tc>
          <w:tcPr>
            <w:tcW w:w="525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合格</w:t>
            </w:r>
          </w:p>
        </w:tc>
      </w:tr>
    </w:tbl>
    <w:p>
      <w:pPr>
        <w:pStyle w:val="6"/>
        <w:ind w:left="0" w:leftChars="0"/>
        <w:rPr>
          <w:color w:val="auto"/>
          <w:highlight w:val="none"/>
        </w:rPr>
      </w:pPr>
    </w:p>
    <w:p>
      <w:pPr>
        <w:spacing w:line="600" w:lineRule="exact"/>
        <w:rPr>
          <w:rFonts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五、报价人资格条件</w:t>
      </w:r>
    </w:p>
    <w:p>
      <w:pPr>
        <w:widowControl/>
        <w:ind w:firstLine="560" w:firstLineChars="200"/>
        <w:jc w:val="left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1、本次采购要求报价人须在我司2022年非招标采购供应商库（土建养护工程路基工程类）合格供应商库内，若报价人不在供应商库（土建养护工程路基工程类）内的，其报价文件将被拒绝。</w:t>
      </w:r>
    </w:p>
    <w:p>
      <w:pPr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2、报价人资料要求：报价人所提交的材料应清晰、完整、真实，否则所产生的后果由报价人自行承担。</w:t>
      </w:r>
    </w:p>
    <w:p>
      <w:pPr>
        <w:tabs>
          <w:tab w:val="left" w:pos="4880"/>
          <w:tab w:val="left" w:pos="6765"/>
        </w:tabs>
        <w:autoSpaceDE w:val="0"/>
        <w:autoSpaceDN w:val="0"/>
        <w:adjustRightInd w:val="0"/>
        <w:spacing w:line="271" w:lineRule="auto"/>
        <w:ind w:left="149" w:right="34" w:firstLine="480"/>
        <w:jc w:val="left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3、本次采购_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_不接受_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( 接受或不接受)联合体报价。</w:t>
      </w:r>
    </w:p>
    <w:p>
      <w:pPr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4、企业未处于被责令停业、报价资格被取消或者财产被接管、冻结和破产状态。</w:t>
      </w:r>
    </w:p>
    <w:p>
      <w:pPr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5、 与采购人存在利害关系可能影响采购公正性的单位，不得参加报价。单位负责人为同一人或存在控股、管理关系的不同单位，不得参加同一合同包报价，否则，相关报价均无效。</w:t>
      </w:r>
    </w:p>
    <w:p>
      <w:pPr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6、在“信用中国”网站(http://www.creditchina. gov.cn/)中被列入失信被执行人名单的报价人，不得参加报价。</w:t>
      </w:r>
    </w:p>
    <w:p>
      <w:pPr>
        <w:pStyle w:val="6"/>
        <w:ind w:left="0" w:leftChars="0" w:firstLine="560" w:firstLineChars="200"/>
        <w:rPr>
          <w:rFonts w:asciiTheme="minorEastAsia" w:hAnsiTheme="minorEastAsia" w:eastAsiaTheme="minorEastAsia" w:cstheme="minorEastAsia"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sz w:val="28"/>
          <w:szCs w:val="28"/>
          <w:highlight w:val="none"/>
        </w:rPr>
        <w:t>7、在“国家企业信用信息公示系统”网站（www.gsxt.gov.cn）中被列入严重违法失信企业名单的报价人，不得参加报价。</w:t>
      </w:r>
    </w:p>
    <w:p>
      <w:pPr>
        <w:pStyle w:val="6"/>
        <w:ind w:left="0" w:leftChars="0" w:firstLine="560" w:firstLineChars="200"/>
        <w:rPr>
          <w:rFonts w:asciiTheme="minorEastAsia" w:hAnsiTheme="minorEastAsia" w:eastAsiaTheme="minorEastAsia" w:cstheme="minorEastAsia"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sz w:val="28"/>
          <w:szCs w:val="28"/>
          <w:highlight w:val="none"/>
        </w:rPr>
        <w:t>8、我司将于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sz w:val="28"/>
          <w:szCs w:val="28"/>
          <w:highlight w:val="none"/>
          <w:lang w:eastAsia="zh-CN"/>
        </w:rPr>
        <w:t>2022年7月25日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sz w:val="28"/>
          <w:szCs w:val="28"/>
          <w:highlight w:val="none"/>
        </w:rPr>
        <w:t>下午依次开展合同包1《政永高速屏古段A道</w:t>
      </w:r>
      <w:r>
        <w:rPr>
          <w:rFonts w:asciiTheme="minorEastAsia" w:hAnsiTheme="minorEastAsia" w:eastAsiaTheme="minorEastAsia" w:cstheme="minorEastAsia"/>
          <w:bCs w:val="0"/>
          <w:color w:val="auto"/>
          <w:sz w:val="28"/>
          <w:szCs w:val="28"/>
          <w:highlight w:val="none"/>
        </w:rPr>
        <w:t>水毁修复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sz w:val="28"/>
          <w:szCs w:val="28"/>
          <w:highlight w:val="none"/>
        </w:rPr>
        <w:t>工程》、合同包2《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政永高速屏古段B道</w:t>
      </w:r>
      <w:r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水毁修复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工程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sz w:val="28"/>
          <w:szCs w:val="28"/>
          <w:highlight w:val="none"/>
        </w:rPr>
        <w:t>》、合同包3《政永、京台高速公路宁德段水毁修复工程》3个项目采购工作。为更好地执行应急抢险项目，现规定凡有被选为合同包第一中选候选人者不参与后续合同包报价。</w:t>
      </w:r>
    </w:p>
    <w:p>
      <w:pPr>
        <w:pStyle w:val="4"/>
        <w:rPr>
          <w:rFonts w:asciiTheme="minorEastAsia" w:hAnsiTheme="minorEastAsia" w:eastAsiaTheme="minorEastAsia" w:cstheme="minorEastAsia"/>
          <w:i w:val="0"/>
          <w:color w:val="auto"/>
          <w:kern w:val="2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color w:val="auto"/>
          <w:kern w:val="2"/>
          <w:sz w:val="28"/>
          <w:szCs w:val="28"/>
          <w:highlight w:val="none"/>
        </w:rPr>
        <w:t>六、报价预备会与现场踏勘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采购人不组织、召开现场踏勘和报价预备会。报价人可自行考察。</w:t>
      </w:r>
    </w:p>
    <w:p>
      <w:pPr>
        <w:spacing w:line="600" w:lineRule="exact"/>
        <w:rPr>
          <w:rFonts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七、采购文件的获取</w:t>
      </w:r>
    </w:p>
    <w:p>
      <w:pPr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凡有意参加报价者，请于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2022年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eastAsia="zh-CN"/>
        </w:rPr>
        <w:t>7月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eastAsia="zh-CN"/>
        </w:rPr>
        <w:t>日至7月2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7:00前，工作日的每天上午9:00~12:00至下午15:00~17:30，到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u w:val="single"/>
        </w:rPr>
        <w:t>宁德市后岗开发区贵岐路1号宁德高速公路养护工程有限公司3楼办公室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领取采购文件。</w:t>
      </w:r>
    </w:p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八、报价文件的递交及相关事宜</w:t>
      </w:r>
    </w:p>
    <w:p>
      <w:pPr>
        <w:spacing w:line="600" w:lineRule="exact"/>
        <w:ind w:firstLine="700" w:firstLineChars="25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  <w:t>1、报价文件递交截止时间：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eastAsia="zh-CN"/>
        </w:rPr>
        <w:t>2022年7月25日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  <w:t>15：30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（北京时间）。</w:t>
      </w:r>
    </w:p>
    <w:p>
      <w:pPr>
        <w:spacing w:line="600" w:lineRule="exact"/>
        <w:ind w:firstLine="700" w:firstLineChars="25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2、报价文件必须在上述时间递交至：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宁德高速管理公司指定开标地点（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u w:val="single"/>
        </w:rPr>
        <w:t>宁德市后岗开发区贵岐路1号经开公司1楼会议室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u w:val="single"/>
        </w:rPr>
        <w:t>。</w:t>
      </w:r>
    </w:p>
    <w:p>
      <w:pPr>
        <w:spacing w:line="600" w:lineRule="exact"/>
        <w:ind w:firstLine="700" w:firstLineChars="250"/>
        <w:rPr>
          <w:rFonts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  <w:t>3、逾期送达的、未送达指定地点的或不按照招标文件要求密封的报价文件，招标人将予以拒收。</w:t>
      </w:r>
    </w:p>
    <w:p>
      <w:pPr>
        <w:spacing w:line="600" w:lineRule="exact"/>
        <w:ind w:firstLine="700" w:firstLineChars="250"/>
        <w:rPr>
          <w:rFonts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  <w:t>4、报价人应派其法人代表或其授权委托的代表出席，出席代表需携带法人代表证明或法人授权委托书、身份证及盖有单位公章的营业执照副本复印件以供审查。</w:t>
      </w:r>
    </w:p>
    <w:p>
      <w:pPr>
        <w:pStyle w:val="6"/>
        <w:rPr>
          <w:color w:val="auto"/>
          <w:highlight w:val="none"/>
        </w:rPr>
      </w:pPr>
    </w:p>
    <w:p>
      <w:pPr>
        <w:autoSpaceDE w:val="0"/>
        <w:autoSpaceDN w:val="0"/>
        <w:adjustRightInd w:val="0"/>
        <w:ind w:right="-23"/>
        <w:jc w:val="left"/>
        <w:outlineLvl w:val="2"/>
        <w:rPr>
          <w:rFonts w:ascii="宋体" w:hAnsi="宋体" w:cs="宋体"/>
          <w:b/>
          <w:bCs/>
          <w:color w:val="auto"/>
          <w:spacing w:val="1"/>
          <w:kern w:val="0"/>
          <w:sz w:val="28"/>
          <w:szCs w:val="28"/>
          <w:highlight w:val="none"/>
        </w:rPr>
      </w:pPr>
      <w:bookmarkStart w:id="3" w:name="_Toc11405"/>
      <w:bookmarkStart w:id="4" w:name="_Toc7349"/>
      <w:bookmarkStart w:id="5" w:name="_Toc513023643"/>
      <w:r>
        <w:rPr>
          <w:rFonts w:hint="eastAsia" w:ascii="宋体" w:hAnsi="宋体" w:cs="宋体"/>
          <w:b/>
          <w:bCs/>
          <w:color w:val="auto"/>
          <w:spacing w:val="1"/>
          <w:kern w:val="0"/>
          <w:sz w:val="28"/>
          <w:szCs w:val="28"/>
          <w:highlight w:val="none"/>
        </w:rPr>
        <w:t xml:space="preserve">九、 </w:t>
      </w:r>
      <w:bookmarkEnd w:id="3"/>
      <w:bookmarkEnd w:id="4"/>
      <w:bookmarkEnd w:id="5"/>
      <w:r>
        <w:rPr>
          <w:rFonts w:hint="eastAsia" w:ascii="宋体" w:hAnsi="宋体" w:cs="宋体"/>
          <w:b/>
          <w:bCs/>
          <w:color w:val="auto"/>
          <w:spacing w:val="1"/>
          <w:kern w:val="0"/>
          <w:sz w:val="28"/>
          <w:szCs w:val="28"/>
          <w:highlight w:val="none"/>
        </w:rPr>
        <w:t>中选原则</w:t>
      </w:r>
    </w:p>
    <w:p>
      <w:pPr>
        <w:spacing w:line="520" w:lineRule="exact"/>
        <w:ind w:firstLine="560" w:firstLineChars="200"/>
        <w:rPr>
          <w:rFonts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本项目采用单信封、资格后审，“合理低价+业绩分”的评审方法</w:t>
      </w:r>
    </w:p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十、防疫相关规定</w:t>
      </w:r>
    </w:p>
    <w:p>
      <w:pPr>
        <w:spacing w:line="500" w:lineRule="exact"/>
        <w:ind w:firstLine="562" w:firstLineChars="200"/>
        <w:rPr>
          <w:rFonts w:ascii="宋体" w:hAnsi="宋体" w:cs="宋体"/>
          <w:b/>
          <w:bCs/>
          <w:color w:val="auto"/>
          <w:sz w:val="28"/>
          <w:szCs w:val="28"/>
          <w:highlight w:val="none"/>
          <w:u w:val="doubl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double"/>
        </w:rPr>
        <w:t>特别提醒：因疫情防控要求，来自中、高风险地区的报价人递交报价文件前应先行出示48小时内出具的核酸检测报告和健康码（绿码），否则采购人或代理机构有权拒绝接受报价文件。</w:t>
      </w:r>
    </w:p>
    <w:p>
      <w:pPr>
        <w:spacing w:line="600" w:lineRule="exact"/>
        <w:rPr>
          <w:rFonts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十一、联系人</w:t>
      </w:r>
    </w:p>
    <w:p>
      <w:pPr>
        <w:pStyle w:val="5"/>
        <w:spacing w:line="600" w:lineRule="exact"/>
        <w:ind w:firstLine="280" w:firstLineChars="1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联系人：张先生   </w:t>
      </w:r>
    </w:p>
    <w:p>
      <w:pPr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电  话：13235938953</w:t>
      </w:r>
    </w:p>
    <w:p>
      <w:pPr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邮  箱：ndgsyhgs@126.com</w:t>
      </w:r>
    </w:p>
    <w:p>
      <w:pPr>
        <w:spacing w:line="600" w:lineRule="exact"/>
        <w:ind w:left="1259" w:leftChars="266" w:hanging="700" w:hangingChars="25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地址：宁德市后岗开发区贵岐路1号宁德市高速公路养护工程有限公司</w:t>
      </w:r>
    </w:p>
    <w:p>
      <w:pPr>
        <w:spacing w:line="600" w:lineRule="exact"/>
        <w:ind w:left="1260" w:leftChars="600"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宁德市高速公路养护工程有限公司</w:t>
      </w:r>
    </w:p>
    <w:p>
      <w:pPr>
        <w:spacing w:line="600" w:lineRule="exact"/>
        <w:ind w:firstLine="4200" w:firstLineChars="15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2022年 7 月 19 日</w:t>
      </w:r>
    </w:p>
    <w:bookmarkEnd w:id="0"/>
    <w:bookmarkEnd w:id="1"/>
    <w:bookmarkEnd w:id="2"/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F1244"/>
    <w:multiLevelType w:val="singleLevel"/>
    <w:tmpl w:val="94FF1244"/>
    <w:lvl w:ilvl="0" w:tentative="0">
      <w:start w:val="1"/>
      <w:numFmt w:val="chineseCounting"/>
      <w:suff w:val="nothing"/>
      <w:lvlText w:val="%1、"/>
      <w:lvlJc w:val="left"/>
      <w:pPr>
        <w:ind w:left="-479"/>
      </w:pPr>
      <w:rPr>
        <w:rFonts w:hint="eastAsia"/>
      </w:rPr>
    </w:lvl>
  </w:abstractNum>
  <w:abstractNum w:abstractNumId="1">
    <w:nsid w:val="DF7D8DBB"/>
    <w:multiLevelType w:val="singleLevel"/>
    <w:tmpl w:val="DF7D8DBB"/>
    <w:lvl w:ilvl="0" w:tentative="0">
      <w:start w:val="1"/>
      <w:numFmt w:val="chineseCounting"/>
      <w:suff w:val="space"/>
      <w:lvlText w:val="第%1篇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YjIzNzA5MzI5M2U1MmJjY2Q5ODA1MjJmNmViOTkifQ=="/>
  </w:docVars>
  <w:rsids>
    <w:rsidRoot w:val="00000000"/>
    <w:rsid w:val="4AB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Lines/>
      <w:widowControl/>
      <w:spacing w:before="340" w:after="330" w:line="578" w:lineRule="auto"/>
      <w:jc w:val="center"/>
      <w:outlineLvl w:val="0"/>
    </w:pPr>
    <w:rPr>
      <w:rFonts w:eastAsia="黑体"/>
      <w:kern w:val="44"/>
      <w:sz w:val="52"/>
      <w:szCs w:val="44"/>
    </w:rPr>
  </w:style>
  <w:style w:type="paragraph" w:styleId="4">
    <w:name w:val="heading 5"/>
    <w:basedOn w:val="1"/>
    <w:next w:val="1"/>
    <w:qFormat/>
    <w:uiPriority w:val="0"/>
    <w:pPr>
      <w:widowControl/>
      <w:tabs>
        <w:tab w:val="left" w:pos="1440"/>
      </w:tabs>
      <w:spacing w:before="240" w:after="60"/>
      <w:ind w:left="1008" w:hanging="1008"/>
      <w:jc w:val="left"/>
      <w:outlineLvl w:val="4"/>
    </w:pPr>
    <w:rPr>
      <w:rFonts w:ascii="Arial" w:hAnsi="Arial"/>
      <w:b/>
      <w:i/>
      <w:kern w:val="0"/>
      <w:sz w:val="2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 2"/>
    <w:basedOn w:val="1"/>
    <w:qFormat/>
    <w:uiPriority w:val="0"/>
    <w:pPr>
      <w:ind w:left="360"/>
    </w:pPr>
    <w:rPr>
      <w:sz w:val="24"/>
      <w:szCs w:val="24"/>
    </w:rPr>
  </w:style>
  <w:style w:type="paragraph" w:styleId="6">
    <w:name w:val="Body Text Indent 3"/>
    <w:basedOn w:val="1"/>
    <w:qFormat/>
    <w:uiPriority w:val="0"/>
    <w:pPr>
      <w:keepLines/>
      <w:widowControl/>
      <w:tabs>
        <w:tab w:val="left" w:pos="1004"/>
      </w:tabs>
      <w:spacing w:line="360" w:lineRule="auto"/>
      <w:ind w:left="1079" w:leftChars="514"/>
    </w:pPr>
    <w:rPr>
      <w:rFonts w:ascii="宋体" w:hAnsi="宋体"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2022-07-20T02:10:08Z</dcterms:created>
  <dc:creator>xiuhongyuan</dc:creator>
  <cp:lastModifiedBy>伟平</cp:lastModifiedBy>
  <dcterms:modified xsi:type="dcterms:W3CDTF">2022-07-20T02:12:36Z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844EF87FCEF7446A950E4C1C81264D46</vt:lpwstr>
  </property>
</Properties>
</file>